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073" w:rsidRPr="001A3ACC" w:rsidRDefault="00986073" w:rsidP="00986073">
      <w:pPr>
        <w:adjustRightInd w:val="0"/>
        <w:snapToGrid w:val="0"/>
        <w:spacing w:line="560" w:lineRule="exact"/>
        <w:rPr>
          <w:rFonts w:ascii="黑体" w:eastAsia="黑体" w:hAnsi="黑体"/>
          <w:szCs w:val="32"/>
        </w:rPr>
      </w:pPr>
      <w:r w:rsidRPr="00986073">
        <w:rPr>
          <w:rFonts w:ascii="仿宋_GB2312" w:hint="eastAsia"/>
          <w:bCs/>
          <w:szCs w:val="32"/>
        </w:rPr>
        <w:t>附件1</w:t>
      </w:r>
    </w:p>
    <w:p w:rsidR="00986073" w:rsidRPr="001A3ACC" w:rsidRDefault="00986073" w:rsidP="00986073">
      <w:pPr>
        <w:adjustRightInd w:val="0"/>
        <w:snapToGrid w:val="0"/>
        <w:spacing w:line="560" w:lineRule="exact"/>
        <w:rPr>
          <w:rFonts w:ascii="黑体" w:eastAsia="黑体" w:hAnsi="黑体" w:hint="eastAsia"/>
          <w:szCs w:val="32"/>
        </w:rPr>
      </w:pPr>
    </w:p>
    <w:p w:rsidR="00986073" w:rsidRPr="009246CA" w:rsidRDefault="00986073" w:rsidP="00986073">
      <w:pPr>
        <w:adjustRightInd w:val="0"/>
        <w:snapToGrid w:val="0"/>
        <w:spacing w:line="560" w:lineRule="exact"/>
        <w:jc w:val="center"/>
        <w:rPr>
          <w:rFonts w:ascii="宋体" w:eastAsia="宋体" w:hAnsi="宋体"/>
          <w:b/>
          <w:sz w:val="44"/>
          <w:szCs w:val="44"/>
        </w:rPr>
      </w:pPr>
      <w:r w:rsidRPr="009246CA">
        <w:rPr>
          <w:rFonts w:ascii="宋体" w:eastAsia="宋体" w:hAnsi="宋体" w:hint="eastAsia"/>
          <w:b/>
          <w:sz w:val="44"/>
          <w:szCs w:val="44"/>
        </w:rPr>
        <w:t>全国银行间债券市场</w:t>
      </w:r>
    </w:p>
    <w:p w:rsidR="00986073" w:rsidRPr="009246CA" w:rsidRDefault="00986073" w:rsidP="00986073">
      <w:pPr>
        <w:adjustRightInd w:val="0"/>
        <w:snapToGrid w:val="0"/>
        <w:spacing w:line="560" w:lineRule="exact"/>
        <w:jc w:val="center"/>
        <w:rPr>
          <w:rFonts w:ascii="宋体" w:eastAsia="宋体" w:hAnsi="宋体"/>
          <w:b/>
          <w:sz w:val="44"/>
          <w:szCs w:val="44"/>
        </w:rPr>
      </w:pPr>
      <w:bookmarkStart w:id="0" w:name="_GoBack"/>
      <w:r w:rsidRPr="009246CA">
        <w:rPr>
          <w:rFonts w:ascii="宋体" w:eastAsia="宋体" w:hAnsi="宋体" w:hint="eastAsia"/>
          <w:b/>
          <w:sz w:val="44"/>
          <w:szCs w:val="44"/>
        </w:rPr>
        <w:t>标准债券远期实物交割业务指引</w:t>
      </w:r>
    </w:p>
    <w:bookmarkEnd w:id="0"/>
    <w:p w:rsidR="00986073" w:rsidRPr="009246CA" w:rsidRDefault="00986073" w:rsidP="00986073">
      <w:pPr>
        <w:spacing w:line="560" w:lineRule="exact"/>
        <w:rPr>
          <w:rFonts w:ascii="仿宋_GB2312"/>
        </w:rPr>
      </w:pPr>
    </w:p>
    <w:p w:rsidR="00986073" w:rsidRPr="001A3ACC" w:rsidRDefault="00986073" w:rsidP="00986073">
      <w:pPr>
        <w:adjustRightInd w:val="0"/>
        <w:snapToGrid w:val="0"/>
        <w:spacing w:line="560" w:lineRule="exact"/>
        <w:jc w:val="center"/>
        <w:rPr>
          <w:rFonts w:ascii="黑体" w:eastAsia="黑体" w:hAnsi="黑体"/>
          <w:bCs/>
          <w:szCs w:val="32"/>
        </w:rPr>
      </w:pPr>
      <w:r w:rsidRPr="001A3ACC">
        <w:rPr>
          <w:rFonts w:ascii="黑体" w:eastAsia="黑体" w:hAnsi="黑体" w:hint="eastAsia"/>
          <w:bCs/>
          <w:szCs w:val="32"/>
        </w:rPr>
        <w:t>第一章</w:t>
      </w:r>
      <w:r w:rsidRPr="001A3ACC">
        <w:rPr>
          <w:rFonts w:ascii="黑体" w:eastAsia="黑体" w:hAnsi="黑体"/>
          <w:bCs/>
          <w:szCs w:val="32"/>
        </w:rPr>
        <w:t xml:space="preserve"> </w:t>
      </w:r>
      <w:r w:rsidRPr="001A3ACC">
        <w:rPr>
          <w:rFonts w:ascii="黑体" w:eastAsia="黑体" w:hAnsi="黑体" w:hint="eastAsia"/>
          <w:bCs/>
          <w:szCs w:val="32"/>
        </w:rPr>
        <w:t>总则</w:t>
      </w:r>
    </w:p>
    <w:p w:rsidR="00986073" w:rsidRPr="001A3ACC" w:rsidRDefault="00986073" w:rsidP="00986073">
      <w:pPr>
        <w:adjustRightInd w:val="0"/>
        <w:snapToGrid w:val="0"/>
        <w:spacing w:line="560" w:lineRule="exact"/>
        <w:ind w:firstLineChars="200" w:firstLine="643"/>
        <w:rPr>
          <w:rFonts w:ascii="仿宋_GB2312" w:hint="eastAsia"/>
          <w:bCs/>
          <w:szCs w:val="32"/>
        </w:rPr>
      </w:pPr>
      <w:r w:rsidRPr="001A3ACC">
        <w:rPr>
          <w:rFonts w:ascii="仿宋_GB2312" w:hint="eastAsia"/>
          <w:b/>
          <w:bCs/>
          <w:szCs w:val="32"/>
        </w:rPr>
        <w:t>第一条</w:t>
      </w:r>
      <w:r w:rsidRPr="001A3ACC">
        <w:rPr>
          <w:rFonts w:ascii="仿宋_GB2312" w:hint="eastAsia"/>
          <w:bCs/>
          <w:szCs w:val="32"/>
        </w:rPr>
        <w:t xml:space="preserve"> 指引目的</w:t>
      </w:r>
    </w:p>
    <w:p w:rsidR="00986073" w:rsidRPr="001A3ACC" w:rsidRDefault="00986073" w:rsidP="00986073">
      <w:pPr>
        <w:adjustRightInd w:val="0"/>
        <w:snapToGrid w:val="0"/>
        <w:spacing w:line="560" w:lineRule="exact"/>
        <w:ind w:firstLineChars="200" w:firstLine="640"/>
        <w:rPr>
          <w:rFonts w:ascii="仿宋_GB2312" w:hAnsi="仿宋" w:hint="eastAsia"/>
          <w:szCs w:val="32"/>
        </w:rPr>
      </w:pPr>
      <w:r w:rsidRPr="001A3ACC">
        <w:rPr>
          <w:rFonts w:ascii="仿宋_GB2312" w:hint="eastAsia"/>
          <w:bCs/>
          <w:szCs w:val="32"/>
        </w:rPr>
        <w:t>为推进标准债券远期市场发展，规范标准债券远期实物交割行为，全国银行间同业拆借中心（以下简称交易中心）和银行间市场清算所股份有限公司（以下简称上海清算所）联合发布本指引。交易中心根据《全国银行间债券市场标准债券远期交易规则（试行）》，上海清算所根据《银行间市场清算所股份有限公司集中清算业务规则》，共同制定本指引。</w:t>
      </w:r>
    </w:p>
    <w:p w:rsidR="00986073" w:rsidRPr="001A3ACC" w:rsidRDefault="00986073" w:rsidP="00986073">
      <w:pPr>
        <w:adjustRightInd w:val="0"/>
        <w:snapToGrid w:val="0"/>
        <w:spacing w:line="560" w:lineRule="exact"/>
        <w:ind w:firstLineChars="200" w:firstLine="643"/>
        <w:rPr>
          <w:rFonts w:ascii="仿宋_GB2312" w:hint="eastAsia"/>
          <w:b/>
          <w:bCs/>
          <w:szCs w:val="32"/>
        </w:rPr>
      </w:pPr>
      <w:r w:rsidRPr="001A3ACC">
        <w:rPr>
          <w:rFonts w:ascii="仿宋_GB2312" w:hint="eastAsia"/>
          <w:b/>
          <w:bCs/>
          <w:szCs w:val="32"/>
        </w:rPr>
        <w:t>第二条</w:t>
      </w:r>
      <w:r w:rsidRPr="001A3ACC">
        <w:rPr>
          <w:rFonts w:ascii="仿宋_GB2312" w:hint="eastAsia"/>
          <w:bCs/>
          <w:szCs w:val="32"/>
        </w:rPr>
        <w:t xml:space="preserve"> 指引原则</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银行间市场成员参与标准债券远期实物交割业务，应参照并遵守本指引及交易中心和上海清算所发布的相关规则，遵循公平、诚信、自律、风险自担的原则进行实物交割，不得以任何形式扰乱市场秩序。</w:t>
      </w:r>
    </w:p>
    <w:p w:rsidR="00986073" w:rsidRPr="001A3ACC" w:rsidRDefault="00986073" w:rsidP="00986073">
      <w:pPr>
        <w:adjustRightInd w:val="0"/>
        <w:snapToGrid w:val="0"/>
        <w:spacing w:line="560" w:lineRule="exact"/>
        <w:ind w:firstLineChars="200" w:firstLine="643"/>
        <w:rPr>
          <w:rFonts w:ascii="仿宋_GB2312" w:hint="eastAsia"/>
          <w:bCs/>
          <w:szCs w:val="32"/>
        </w:rPr>
      </w:pPr>
      <w:r w:rsidRPr="001A3ACC">
        <w:rPr>
          <w:rFonts w:ascii="仿宋_GB2312" w:hint="eastAsia"/>
          <w:b/>
          <w:bCs/>
          <w:szCs w:val="32"/>
        </w:rPr>
        <w:t>第三条</w:t>
      </w:r>
      <w:r w:rsidRPr="001A3ACC">
        <w:rPr>
          <w:rFonts w:ascii="仿宋_GB2312" w:hint="eastAsia"/>
          <w:bCs/>
          <w:szCs w:val="32"/>
        </w:rPr>
        <w:t xml:space="preserve"> 业务定义</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实物交割是指标准债券远期合约进入交割月份后，持有合约头寸的市场机构根据交易中心和上海清算所发布的规则和流程转移合约标的物所有权，了结未平仓合约的行为。</w:t>
      </w:r>
    </w:p>
    <w:p w:rsidR="00986073" w:rsidRPr="001A3ACC" w:rsidRDefault="00986073" w:rsidP="00986073">
      <w:pPr>
        <w:adjustRightInd w:val="0"/>
        <w:snapToGrid w:val="0"/>
        <w:spacing w:line="560" w:lineRule="exact"/>
        <w:ind w:firstLineChars="200" w:firstLine="640"/>
        <w:rPr>
          <w:rFonts w:ascii="仿宋_GB2312" w:hAnsi="仿宋" w:hint="eastAsia"/>
          <w:bCs/>
          <w:szCs w:val="32"/>
        </w:rPr>
      </w:pPr>
      <w:r w:rsidRPr="001A3ACC">
        <w:rPr>
          <w:rFonts w:ascii="仿宋_GB2312" w:hAnsi="仿宋" w:hint="eastAsia"/>
          <w:bCs/>
          <w:szCs w:val="32"/>
        </w:rPr>
        <w:t>标准债券远期实物交割合约的交易方式参照现金交割合约的交易方式，合约代码结尾以P标识，以示区分。</w:t>
      </w:r>
    </w:p>
    <w:p w:rsidR="00986073" w:rsidRPr="001A3ACC" w:rsidRDefault="00986073" w:rsidP="00986073">
      <w:pPr>
        <w:adjustRightInd w:val="0"/>
        <w:snapToGrid w:val="0"/>
        <w:spacing w:line="560" w:lineRule="exact"/>
        <w:ind w:firstLineChars="200" w:firstLine="643"/>
        <w:rPr>
          <w:rFonts w:ascii="仿宋_GB2312" w:hint="eastAsia"/>
          <w:bCs/>
          <w:szCs w:val="32"/>
        </w:rPr>
      </w:pPr>
      <w:r w:rsidRPr="001A3ACC">
        <w:rPr>
          <w:rFonts w:ascii="仿宋_GB2312" w:hint="eastAsia"/>
          <w:b/>
          <w:bCs/>
          <w:szCs w:val="32"/>
        </w:rPr>
        <w:lastRenderedPageBreak/>
        <w:t>第四条</w:t>
      </w:r>
      <w:r w:rsidRPr="001A3ACC">
        <w:rPr>
          <w:rFonts w:ascii="仿宋_GB2312" w:hint="eastAsia"/>
          <w:bCs/>
          <w:szCs w:val="32"/>
        </w:rPr>
        <w:t xml:space="preserve"> 实物交割双方</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标准债券远期业务的市场成员均可开展实物交割业务。实物交割业务参与者分为买方（付款方）和卖方（付券方）。买方（付款方）的实物交割合约净头寸为正，合约交割时支付价款以获得相应的可交割债券。卖方（付券方）的实物交割合约净头寸为负，合约交割时转移可交割债券所有权以获得对应价款。</w:t>
      </w:r>
    </w:p>
    <w:p w:rsidR="00986073" w:rsidRPr="001A3ACC" w:rsidRDefault="00986073" w:rsidP="00986073">
      <w:pPr>
        <w:adjustRightInd w:val="0"/>
        <w:snapToGrid w:val="0"/>
        <w:spacing w:line="560" w:lineRule="exact"/>
        <w:ind w:firstLineChars="200" w:firstLine="643"/>
        <w:rPr>
          <w:rFonts w:ascii="仿宋_GB2312" w:hint="eastAsia"/>
          <w:bCs/>
          <w:szCs w:val="32"/>
        </w:rPr>
      </w:pPr>
      <w:r w:rsidRPr="001A3ACC">
        <w:rPr>
          <w:rFonts w:ascii="仿宋_GB2312" w:hint="eastAsia"/>
          <w:b/>
          <w:bCs/>
          <w:szCs w:val="32"/>
        </w:rPr>
        <w:t>第五条</w:t>
      </w:r>
      <w:r w:rsidRPr="001A3ACC">
        <w:rPr>
          <w:rFonts w:ascii="仿宋_GB2312" w:hint="eastAsia"/>
          <w:bCs/>
          <w:szCs w:val="32"/>
        </w:rPr>
        <w:t xml:space="preserve"> 职责分工</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标准债券远期实物交割由交易中心和上海清算所共同组织开展。交易中心负责开展交割意向收集，市场成员通过中国银行间本币交易平台（以下简称本币交易平台）申报交割意向；上海清算所作为中央对手方负责开展交割配对及交割失败处理；债券登记托管机构负责按照券款对付（DVP）方式执行交割结算，业务开展初期阶段债券登记托管机构主要指上海清算所。</w:t>
      </w:r>
    </w:p>
    <w:p w:rsidR="00986073" w:rsidRPr="001A3ACC" w:rsidRDefault="00986073" w:rsidP="00986073">
      <w:pPr>
        <w:adjustRightInd w:val="0"/>
        <w:snapToGrid w:val="0"/>
        <w:spacing w:line="560" w:lineRule="exact"/>
        <w:ind w:firstLineChars="200" w:firstLine="643"/>
        <w:rPr>
          <w:rFonts w:ascii="仿宋_GB2312" w:hint="eastAsia"/>
          <w:bCs/>
          <w:szCs w:val="32"/>
        </w:rPr>
      </w:pPr>
      <w:r w:rsidRPr="001A3ACC">
        <w:rPr>
          <w:rFonts w:ascii="仿宋_GB2312" w:hint="eastAsia"/>
          <w:b/>
          <w:bCs/>
          <w:szCs w:val="32"/>
        </w:rPr>
        <w:t>第六条</w:t>
      </w:r>
      <w:r w:rsidRPr="001A3ACC">
        <w:rPr>
          <w:rFonts w:ascii="仿宋_GB2312" w:hint="eastAsia"/>
          <w:bCs/>
          <w:szCs w:val="32"/>
        </w:rPr>
        <w:t xml:space="preserve"> 账户管理</w:t>
      </w:r>
    </w:p>
    <w:p w:rsidR="00986073" w:rsidRPr="00F21EA4" w:rsidRDefault="00986073" w:rsidP="00F21EA4">
      <w:pPr>
        <w:adjustRightInd w:val="0"/>
        <w:snapToGrid w:val="0"/>
        <w:spacing w:line="560" w:lineRule="exact"/>
        <w:ind w:firstLineChars="200" w:firstLine="640"/>
        <w:rPr>
          <w:rFonts w:ascii="仿宋_GB2312" w:hAnsi="仿宋" w:hint="eastAsia"/>
          <w:bCs/>
          <w:szCs w:val="32"/>
        </w:rPr>
      </w:pPr>
      <w:r w:rsidRPr="001A3ACC">
        <w:rPr>
          <w:rFonts w:ascii="仿宋_GB2312" w:hint="eastAsia"/>
          <w:bCs/>
          <w:szCs w:val="32"/>
        </w:rPr>
        <w:t>市场成员参与实物交割业务时，默认使用其在上海清算所开立的用于现券DVP结算的债券账户和资金结算账户，也可另行指定或开立用于实物交割业务的资金结算账户，市场成员须保证用于实物交割业务相关账户的真实性、准确性、有效性。市场成员授权上海清算所根据实物交割配对信息、实物交割处理结果对相关账户进行结算处理。</w:t>
      </w:r>
    </w:p>
    <w:p w:rsidR="00986073" w:rsidRPr="001A3ACC" w:rsidRDefault="00986073" w:rsidP="00986073">
      <w:pPr>
        <w:adjustRightInd w:val="0"/>
        <w:snapToGrid w:val="0"/>
        <w:spacing w:line="560" w:lineRule="exact"/>
        <w:ind w:firstLine="200"/>
        <w:rPr>
          <w:rFonts w:ascii="仿宋_GB2312" w:hint="eastAsia"/>
        </w:rPr>
      </w:pPr>
    </w:p>
    <w:p w:rsidR="00986073" w:rsidRPr="001A3ACC" w:rsidRDefault="00986073" w:rsidP="00986073">
      <w:pPr>
        <w:adjustRightInd w:val="0"/>
        <w:snapToGrid w:val="0"/>
        <w:spacing w:line="560" w:lineRule="exact"/>
        <w:jc w:val="center"/>
        <w:rPr>
          <w:rFonts w:ascii="黑体" w:eastAsia="黑体" w:hAnsi="黑体"/>
          <w:bCs/>
          <w:szCs w:val="32"/>
        </w:rPr>
      </w:pPr>
      <w:r w:rsidRPr="001A3ACC">
        <w:rPr>
          <w:rFonts w:ascii="黑体" w:eastAsia="黑体" w:hAnsi="黑体" w:hint="eastAsia"/>
          <w:bCs/>
          <w:szCs w:val="32"/>
        </w:rPr>
        <w:t>第二章</w:t>
      </w:r>
      <w:r w:rsidRPr="001A3ACC">
        <w:rPr>
          <w:rFonts w:ascii="黑体" w:eastAsia="黑体" w:hAnsi="黑体"/>
          <w:bCs/>
          <w:szCs w:val="32"/>
        </w:rPr>
        <w:t xml:space="preserve"> </w:t>
      </w:r>
      <w:r w:rsidRPr="001A3ACC">
        <w:rPr>
          <w:rFonts w:ascii="黑体" w:eastAsia="黑体" w:hAnsi="黑体" w:hint="eastAsia"/>
          <w:bCs/>
          <w:szCs w:val="32"/>
        </w:rPr>
        <w:t>可交割债券</w:t>
      </w:r>
    </w:p>
    <w:p w:rsidR="00986073" w:rsidRPr="009246CA" w:rsidRDefault="00986073" w:rsidP="00986073">
      <w:pPr>
        <w:adjustRightInd w:val="0"/>
        <w:snapToGrid w:val="0"/>
        <w:spacing w:line="560" w:lineRule="exact"/>
        <w:ind w:firstLineChars="200" w:firstLine="643"/>
        <w:rPr>
          <w:rFonts w:ascii="仿宋_GB2312"/>
          <w:bCs/>
          <w:szCs w:val="32"/>
        </w:rPr>
      </w:pPr>
      <w:r w:rsidRPr="009246CA">
        <w:rPr>
          <w:rFonts w:ascii="仿宋_GB2312" w:hint="eastAsia"/>
          <w:b/>
          <w:bCs/>
          <w:szCs w:val="32"/>
        </w:rPr>
        <w:lastRenderedPageBreak/>
        <w:t>第七条</w:t>
      </w:r>
      <w:r w:rsidRPr="009246CA">
        <w:rPr>
          <w:rFonts w:ascii="仿宋_GB2312"/>
          <w:bCs/>
          <w:szCs w:val="32"/>
        </w:rPr>
        <w:t xml:space="preserve"> </w:t>
      </w:r>
      <w:r w:rsidRPr="009246CA">
        <w:rPr>
          <w:rFonts w:ascii="仿宋_GB2312" w:hint="eastAsia"/>
          <w:bCs/>
          <w:szCs w:val="32"/>
        </w:rPr>
        <w:t>可交割债券条件</w:t>
      </w:r>
    </w:p>
    <w:p w:rsidR="00986073" w:rsidRPr="009246CA"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标准债券远期实物交割业务可交割债券应为托管于银行间市场的债券，满足固定利率、定期付息、不含权、合约到期月份首日待偿期在合约规定范围内等交易中心和上海清算所规定的条件。</w:t>
      </w:r>
    </w:p>
    <w:p w:rsidR="00986073" w:rsidRPr="009246CA"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可交割债券筛选条件如有调整，交易中心和上海清算所将另行发布通知。</w:t>
      </w:r>
    </w:p>
    <w:p w:rsidR="00986073" w:rsidRPr="009246CA" w:rsidRDefault="00986073" w:rsidP="00986073">
      <w:pPr>
        <w:adjustRightInd w:val="0"/>
        <w:snapToGrid w:val="0"/>
        <w:spacing w:line="560" w:lineRule="exact"/>
        <w:ind w:firstLineChars="200" w:firstLine="643"/>
        <w:rPr>
          <w:rFonts w:ascii="仿宋_GB2312"/>
          <w:bCs/>
          <w:szCs w:val="32"/>
        </w:rPr>
      </w:pPr>
      <w:r w:rsidRPr="009246CA">
        <w:rPr>
          <w:rFonts w:ascii="仿宋_GB2312" w:hint="eastAsia"/>
          <w:b/>
          <w:bCs/>
          <w:szCs w:val="32"/>
        </w:rPr>
        <w:t>第八条</w:t>
      </w:r>
      <w:r w:rsidRPr="009246CA">
        <w:rPr>
          <w:rFonts w:ascii="仿宋_GB2312"/>
          <w:bCs/>
          <w:szCs w:val="32"/>
        </w:rPr>
        <w:t xml:space="preserve"> </w:t>
      </w:r>
      <w:r w:rsidRPr="009246CA">
        <w:rPr>
          <w:rFonts w:ascii="仿宋_GB2312" w:hint="eastAsia"/>
          <w:bCs/>
          <w:szCs w:val="32"/>
        </w:rPr>
        <w:t>交割单位</w:t>
      </w:r>
    </w:p>
    <w:p w:rsidR="00986073" w:rsidRPr="009246CA"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实物交割合约的交割单位为面值1</w:t>
      </w:r>
      <w:r w:rsidRPr="009246CA">
        <w:rPr>
          <w:rFonts w:ascii="仿宋_GB2312"/>
          <w:bCs/>
          <w:szCs w:val="32"/>
        </w:rPr>
        <w:t>000</w:t>
      </w:r>
      <w:r w:rsidRPr="009246CA">
        <w:rPr>
          <w:rFonts w:ascii="仿宋_GB2312" w:hint="eastAsia"/>
          <w:bCs/>
          <w:szCs w:val="32"/>
        </w:rPr>
        <w:t>万元人民币的可交割债券。</w:t>
      </w:r>
    </w:p>
    <w:p w:rsidR="00986073" w:rsidRPr="009246CA" w:rsidRDefault="00986073" w:rsidP="00986073">
      <w:pPr>
        <w:adjustRightInd w:val="0"/>
        <w:snapToGrid w:val="0"/>
        <w:spacing w:line="560" w:lineRule="exact"/>
        <w:ind w:firstLineChars="200" w:firstLine="643"/>
        <w:rPr>
          <w:rFonts w:ascii="仿宋_GB2312"/>
          <w:bCs/>
          <w:szCs w:val="32"/>
        </w:rPr>
      </w:pPr>
      <w:r w:rsidRPr="009246CA">
        <w:rPr>
          <w:rFonts w:ascii="仿宋_GB2312"/>
          <w:b/>
          <w:bCs/>
          <w:szCs w:val="32"/>
        </w:rPr>
        <w:t>第</w:t>
      </w:r>
      <w:r w:rsidRPr="009246CA">
        <w:rPr>
          <w:rFonts w:ascii="仿宋_GB2312" w:hint="eastAsia"/>
          <w:b/>
          <w:bCs/>
          <w:szCs w:val="32"/>
        </w:rPr>
        <w:t>九</w:t>
      </w:r>
      <w:r w:rsidRPr="009246CA">
        <w:rPr>
          <w:rFonts w:ascii="仿宋_GB2312"/>
          <w:b/>
          <w:bCs/>
          <w:szCs w:val="32"/>
        </w:rPr>
        <w:t>条</w:t>
      </w:r>
      <w:r w:rsidRPr="009246CA">
        <w:rPr>
          <w:rFonts w:ascii="仿宋_GB2312"/>
          <w:bCs/>
          <w:szCs w:val="32"/>
        </w:rPr>
        <w:t xml:space="preserve"> </w:t>
      </w:r>
      <w:r w:rsidRPr="009246CA">
        <w:rPr>
          <w:rFonts w:ascii="仿宋_GB2312" w:hint="eastAsia"/>
          <w:bCs/>
          <w:szCs w:val="32"/>
        </w:rPr>
        <w:t>可交割债券及转换因子</w:t>
      </w:r>
    </w:p>
    <w:p w:rsidR="00986073" w:rsidRPr="009246CA"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标准债券远期实物交割合约的可交割债券及其转换因子（计算方式见附</w:t>
      </w:r>
      <w:r>
        <w:rPr>
          <w:rFonts w:ascii="仿宋_GB2312" w:hint="eastAsia"/>
          <w:bCs/>
          <w:szCs w:val="32"/>
        </w:rPr>
        <w:t>1</w:t>
      </w:r>
      <w:r w:rsidRPr="009246CA">
        <w:rPr>
          <w:rFonts w:ascii="仿宋_GB2312" w:hint="eastAsia"/>
          <w:bCs/>
          <w:szCs w:val="32"/>
        </w:rPr>
        <w:t>）由交易中心确定并向市场公布。</w:t>
      </w:r>
    </w:p>
    <w:p w:rsidR="00986073" w:rsidRPr="009246CA" w:rsidRDefault="00986073" w:rsidP="00986073">
      <w:pPr>
        <w:adjustRightInd w:val="0"/>
        <w:snapToGrid w:val="0"/>
        <w:spacing w:line="560" w:lineRule="exact"/>
        <w:ind w:firstLineChars="200" w:firstLine="640"/>
        <w:rPr>
          <w:rFonts w:ascii="仿宋" w:eastAsia="仿宋" w:hAnsi="仿宋"/>
          <w:bCs/>
          <w:szCs w:val="32"/>
        </w:rPr>
      </w:pPr>
    </w:p>
    <w:p w:rsidR="00986073" w:rsidRPr="001A3ACC" w:rsidRDefault="00986073" w:rsidP="00986073">
      <w:pPr>
        <w:adjustRightInd w:val="0"/>
        <w:snapToGrid w:val="0"/>
        <w:spacing w:line="560" w:lineRule="exact"/>
        <w:jc w:val="center"/>
        <w:rPr>
          <w:rFonts w:ascii="黑体" w:eastAsia="黑体" w:hAnsi="黑体"/>
          <w:bCs/>
          <w:szCs w:val="32"/>
        </w:rPr>
      </w:pPr>
      <w:r w:rsidRPr="001A3ACC">
        <w:rPr>
          <w:rFonts w:ascii="黑体" w:eastAsia="黑体" w:hAnsi="黑体" w:hint="eastAsia"/>
          <w:bCs/>
          <w:szCs w:val="32"/>
        </w:rPr>
        <w:t>第三章</w:t>
      </w:r>
      <w:r w:rsidRPr="001A3ACC">
        <w:rPr>
          <w:rFonts w:ascii="黑体" w:eastAsia="黑体" w:hAnsi="黑体"/>
          <w:bCs/>
          <w:szCs w:val="32"/>
        </w:rPr>
        <w:t xml:space="preserve"> </w:t>
      </w:r>
      <w:r w:rsidRPr="001A3ACC">
        <w:rPr>
          <w:rFonts w:ascii="黑体" w:eastAsia="黑体" w:hAnsi="黑体" w:hint="eastAsia"/>
          <w:bCs/>
          <w:szCs w:val="32"/>
        </w:rPr>
        <w:t>交割申报</w:t>
      </w:r>
    </w:p>
    <w:p w:rsidR="00986073" w:rsidRPr="009246CA" w:rsidRDefault="00986073" w:rsidP="00986073">
      <w:pPr>
        <w:adjustRightInd w:val="0"/>
        <w:snapToGrid w:val="0"/>
        <w:spacing w:line="560" w:lineRule="exact"/>
        <w:ind w:firstLineChars="200" w:firstLine="643"/>
        <w:rPr>
          <w:rFonts w:ascii="仿宋_GB2312"/>
          <w:bCs/>
          <w:szCs w:val="32"/>
        </w:rPr>
      </w:pPr>
      <w:r w:rsidRPr="009246CA">
        <w:rPr>
          <w:rFonts w:ascii="仿宋_GB2312" w:hint="eastAsia"/>
          <w:b/>
          <w:bCs/>
          <w:szCs w:val="32"/>
        </w:rPr>
        <w:t>第十条</w:t>
      </w:r>
      <w:r w:rsidRPr="009246CA">
        <w:rPr>
          <w:rFonts w:ascii="仿宋_GB2312"/>
          <w:bCs/>
          <w:szCs w:val="32"/>
        </w:rPr>
        <w:t xml:space="preserve"> </w:t>
      </w:r>
      <w:r w:rsidRPr="009246CA">
        <w:rPr>
          <w:rFonts w:ascii="仿宋_GB2312" w:hint="eastAsia"/>
          <w:bCs/>
          <w:szCs w:val="32"/>
        </w:rPr>
        <w:t>交割机制</w:t>
      </w:r>
    </w:p>
    <w:p w:rsidR="00986073" w:rsidRPr="009246CA"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标准债券远期实物交割采用滚动交割机制，分为滚动交割阶段和集中交割阶段。滚动交割阶段为自合约进入交割月份后第一个工作日至合约最后交易日前一工作日。最后交易日交易闭市后，全市场未平仓头寸进入最后一轮集中交割阶段。每轮交割分为申报日和交割日两日完成。</w:t>
      </w:r>
    </w:p>
    <w:p w:rsidR="00986073" w:rsidRPr="009246CA" w:rsidRDefault="00986073" w:rsidP="00986073">
      <w:pPr>
        <w:adjustRightInd w:val="0"/>
        <w:snapToGrid w:val="0"/>
        <w:spacing w:line="560" w:lineRule="exact"/>
        <w:ind w:firstLineChars="200" w:firstLine="643"/>
        <w:rPr>
          <w:rFonts w:ascii="仿宋_GB2312"/>
          <w:bCs/>
          <w:szCs w:val="32"/>
        </w:rPr>
      </w:pPr>
      <w:r w:rsidRPr="009246CA">
        <w:rPr>
          <w:rFonts w:ascii="仿宋_GB2312"/>
          <w:b/>
          <w:bCs/>
          <w:szCs w:val="32"/>
        </w:rPr>
        <w:t>第</w:t>
      </w:r>
      <w:r w:rsidRPr="009246CA">
        <w:rPr>
          <w:rFonts w:ascii="仿宋_GB2312" w:hint="eastAsia"/>
          <w:b/>
          <w:bCs/>
          <w:szCs w:val="32"/>
        </w:rPr>
        <w:t>十一</w:t>
      </w:r>
      <w:r w:rsidRPr="009246CA">
        <w:rPr>
          <w:rFonts w:ascii="仿宋_GB2312"/>
          <w:b/>
          <w:bCs/>
          <w:szCs w:val="32"/>
        </w:rPr>
        <w:t>条</w:t>
      </w:r>
      <w:r w:rsidRPr="009246CA">
        <w:rPr>
          <w:rFonts w:ascii="仿宋_GB2312"/>
          <w:bCs/>
          <w:szCs w:val="32"/>
        </w:rPr>
        <w:t xml:space="preserve"> 申报</w:t>
      </w:r>
      <w:r w:rsidRPr="009246CA">
        <w:rPr>
          <w:rFonts w:ascii="仿宋_GB2312" w:hint="eastAsia"/>
          <w:bCs/>
          <w:szCs w:val="32"/>
        </w:rPr>
        <w:t>服务</w:t>
      </w:r>
    </w:p>
    <w:p w:rsidR="00986073" w:rsidRPr="009246CA"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交易中心为市场成员提供实物交割合约的交割申报服务。市场成员应在本币交易平台提交交割申报，并可通过本</w:t>
      </w:r>
      <w:r w:rsidRPr="009246CA">
        <w:rPr>
          <w:rFonts w:ascii="仿宋_GB2312" w:hint="eastAsia"/>
          <w:bCs/>
          <w:szCs w:val="32"/>
        </w:rPr>
        <w:lastRenderedPageBreak/>
        <w:t>币交易平台查询交割申报、交割配对、交割结果等信息。</w:t>
      </w:r>
    </w:p>
    <w:p w:rsidR="00986073" w:rsidRPr="009246CA" w:rsidRDefault="00986073" w:rsidP="00986073">
      <w:pPr>
        <w:adjustRightInd w:val="0"/>
        <w:snapToGrid w:val="0"/>
        <w:spacing w:line="560" w:lineRule="exact"/>
        <w:ind w:firstLineChars="200" w:firstLine="643"/>
        <w:rPr>
          <w:rFonts w:ascii="仿宋_GB2312"/>
          <w:bCs/>
          <w:szCs w:val="32"/>
        </w:rPr>
      </w:pPr>
      <w:r w:rsidRPr="009246CA">
        <w:rPr>
          <w:rFonts w:ascii="仿宋_GB2312" w:hint="eastAsia"/>
          <w:b/>
          <w:bCs/>
          <w:szCs w:val="32"/>
        </w:rPr>
        <w:t>第十二条</w:t>
      </w:r>
      <w:r w:rsidRPr="009246CA">
        <w:rPr>
          <w:rFonts w:ascii="仿宋_GB2312"/>
          <w:bCs/>
          <w:szCs w:val="32"/>
        </w:rPr>
        <w:t xml:space="preserve"> </w:t>
      </w:r>
      <w:r w:rsidRPr="009246CA">
        <w:rPr>
          <w:rFonts w:ascii="仿宋_GB2312" w:hint="eastAsia"/>
          <w:bCs/>
          <w:szCs w:val="32"/>
        </w:rPr>
        <w:t>申报权限</w:t>
      </w:r>
    </w:p>
    <w:p w:rsidR="00986073" w:rsidRPr="009246CA"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参与实物交割业务的市场成员应在本币交易平台中为本方用户勾选交割申报权限。具有交割申报权限的用户可进行交割申报。</w:t>
      </w:r>
    </w:p>
    <w:p w:rsidR="00986073" w:rsidRPr="009246CA" w:rsidRDefault="00986073" w:rsidP="00986073">
      <w:pPr>
        <w:adjustRightInd w:val="0"/>
        <w:snapToGrid w:val="0"/>
        <w:spacing w:line="560" w:lineRule="exact"/>
        <w:ind w:firstLineChars="200" w:firstLine="643"/>
        <w:rPr>
          <w:rFonts w:ascii="仿宋_GB2312"/>
          <w:bCs/>
          <w:szCs w:val="32"/>
        </w:rPr>
      </w:pPr>
      <w:r w:rsidRPr="009246CA">
        <w:rPr>
          <w:rFonts w:ascii="仿宋_GB2312" w:hint="eastAsia"/>
          <w:b/>
          <w:bCs/>
          <w:szCs w:val="32"/>
        </w:rPr>
        <w:t>第十三条</w:t>
      </w:r>
      <w:r w:rsidRPr="009246CA">
        <w:rPr>
          <w:rFonts w:ascii="仿宋_GB2312"/>
          <w:bCs/>
          <w:szCs w:val="32"/>
        </w:rPr>
        <w:t xml:space="preserve"> </w:t>
      </w:r>
      <w:r w:rsidRPr="009246CA">
        <w:rPr>
          <w:rFonts w:ascii="仿宋_GB2312" w:hint="eastAsia"/>
          <w:bCs/>
          <w:szCs w:val="32"/>
        </w:rPr>
        <w:t>申报时间</w:t>
      </w:r>
    </w:p>
    <w:p w:rsidR="00986073" w:rsidRPr="009246CA"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滚动交割阶段，买方（付款方）和卖方（付券方）均可在每个银行间市场工作日</w:t>
      </w:r>
      <w:r w:rsidRPr="009246CA">
        <w:rPr>
          <w:rFonts w:ascii="仿宋_GB2312"/>
          <w:bCs/>
          <w:szCs w:val="32"/>
        </w:rPr>
        <w:t>8:30-16:30</w:t>
      </w:r>
      <w:r w:rsidRPr="009246CA">
        <w:rPr>
          <w:rFonts w:ascii="仿宋_GB2312" w:hint="eastAsia"/>
          <w:bCs/>
          <w:szCs w:val="32"/>
        </w:rPr>
        <w:t>之间提出交割申报。</w:t>
      </w:r>
    </w:p>
    <w:p w:rsidR="00986073" w:rsidRPr="009246CA"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最后交易日，买方（付款方）可在</w:t>
      </w:r>
      <w:r w:rsidRPr="009246CA">
        <w:rPr>
          <w:rFonts w:ascii="仿宋_GB2312"/>
          <w:bCs/>
          <w:szCs w:val="32"/>
        </w:rPr>
        <w:t>8:30-12:00</w:t>
      </w:r>
      <w:r w:rsidRPr="009246CA">
        <w:rPr>
          <w:rFonts w:ascii="仿宋_GB2312" w:hint="eastAsia"/>
          <w:bCs/>
          <w:szCs w:val="32"/>
        </w:rPr>
        <w:t>之间提出交割申报；卖方（付券方）可在</w:t>
      </w:r>
      <w:r w:rsidRPr="009246CA">
        <w:rPr>
          <w:rFonts w:ascii="仿宋_GB2312"/>
          <w:bCs/>
          <w:szCs w:val="32"/>
        </w:rPr>
        <w:t>8:30-16:30</w:t>
      </w:r>
      <w:r w:rsidRPr="009246CA">
        <w:rPr>
          <w:rFonts w:ascii="仿宋_GB2312" w:hint="eastAsia"/>
          <w:bCs/>
          <w:szCs w:val="32"/>
        </w:rPr>
        <w:t>之间提出交割申报。买方（付款方）未在规定申报时间内足额申报的，上海清算所将自动生成虚拟交割意向；卖方（付券方）未在规定申报时间内足额申报的，将导致交割失败。</w:t>
      </w:r>
    </w:p>
    <w:p w:rsidR="00986073" w:rsidRPr="009246CA" w:rsidRDefault="00986073" w:rsidP="00986073">
      <w:pPr>
        <w:adjustRightInd w:val="0"/>
        <w:snapToGrid w:val="0"/>
        <w:spacing w:line="560" w:lineRule="exact"/>
        <w:ind w:firstLineChars="200" w:firstLine="643"/>
        <w:rPr>
          <w:rFonts w:ascii="仿宋_GB2312"/>
          <w:bCs/>
          <w:szCs w:val="32"/>
        </w:rPr>
      </w:pPr>
      <w:r w:rsidRPr="009246CA">
        <w:rPr>
          <w:rFonts w:ascii="仿宋_GB2312" w:hint="eastAsia"/>
          <w:b/>
          <w:bCs/>
          <w:szCs w:val="32"/>
        </w:rPr>
        <w:t>第十四条</w:t>
      </w:r>
      <w:r w:rsidRPr="009246CA">
        <w:rPr>
          <w:rFonts w:ascii="仿宋_GB2312"/>
          <w:bCs/>
          <w:szCs w:val="32"/>
        </w:rPr>
        <w:t xml:space="preserve"> </w:t>
      </w:r>
      <w:r w:rsidRPr="009246CA">
        <w:rPr>
          <w:rFonts w:ascii="仿宋_GB2312" w:hint="eastAsia"/>
          <w:bCs/>
          <w:szCs w:val="32"/>
        </w:rPr>
        <w:t>申报方式</w:t>
      </w:r>
    </w:p>
    <w:p w:rsidR="00986073" w:rsidRPr="009246CA"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市场成员的交割申报应以其所申报合约的最新净持仓为限。</w:t>
      </w:r>
    </w:p>
    <w:p w:rsidR="00986073" w:rsidRPr="009246CA"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买方（付款方）申报时，应提交合约品种和申报合约量（手）。卖方（付券方）申报时，应提交合约品种、申报合约量（手）、申报债券及对应的申报券面量；若申报合约量与申报债券券面总额不一致，以申报债券券面总额为实际申报量。</w:t>
      </w:r>
    </w:p>
    <w:p w:rsidR="00986073" w:rsidRPr="009246CA"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同一交易账户在同一申报日对于同一合约仅可有一笔有效申报；若存在多笔申报，则以最新申报记录为准。</w:t>
      </w:r>
    </w:p>
    <w:p w:rsidR="00986073" w:rsidRPr="009246CA" w:rsidRDefault="00986073" w:rsidP="00986073">
      <w:pPr>
        <w:adjustRightInd w:val="0"/>
        <w:snapToGrid w:val="0"/>
        <w:spacing w:line="560" w:lineRule="exact"/>
        <w:ind w:firstLineChars="200" w:firstLine="643"/>
        <w:rPr>
          <w:rFonts w:ascii="仿宋_GB2312"/>
          <w:bCs/>
          <w:szCs w:val="32"/>
        </w:rPr>
      </w:pPr>
      <w:r w:rsidRPr="009246CA">
        <w:rPr>
          <w:rFonts w:ascii="仿宋_GB2312" w:hint="eastAsia"/>
          <w:b/>
          <w:bCs/>
          <w:szCs w:val="32"/>
        </w:rPr>
        <w:t>第十五条</w:t>
      </w:r>
      <w:r w:rsidRPr="009246CA">
        <w:rPr>
          <w:rFonts w:ascii="仿宋_GB2312"/>
          <w:bCs/>
          <w:szCs w:val="32"/>
        </w:rPr>
        <w:t xml:space="preserve"> </w:t>
      </w:r>
      <w:r w:rsidRPr="009246CA">
        <w:rPr>
          <w:rFonts w:ascii="仿宋_GB2312" w:hint="eastAsia"/>
          <w:bCs/>
          <w:szCs w:val="32"/>
        </w:rPr>
        <w:t>交割申报单</w:t>
      </w:r>
    </w:p>
    <w:p w:rsidR="00986073" w:rsidRPr="009246CA" w:rsidRDefault="00986073" w:rsidP="00986073">
      <w:pPr>
        <w:adjustRightInd w:val="0"/>
        <w:snapToGrid w:val="0"/>
        <w:spacing w:line="560" w:lineRule="exact"/>
        <w:ind w:firstLineChars="200" w:firstLine="640"/>
        <w:rPr>
          <w:rFonts w:ascii="仿宋" w:eastAsia="仿宋" w:hAnsi="仿宋"/>
          <w:bCs/>
          <w:szCs w:val="32"/>
        </w:rPr>
      </w:pPr>
      <w:r w:rsidRPr="009246CA">
        <w:rPr>
          <w:rFonts w:ascii="仿宋_GB2312" w:hint="eastAsia"/>
          <w:bCs/>
          <w:szCs w:val="32"/>
        </w:rPr>
        <w:t>本币交易平台根据市场成员的申报信息自动生成交割</w:t>
      </w:r>
      <w:r w:rsidRPr="009246CA">
        <w:rPr>
          <w:rFonts w:ascii="仿宋_GB2312" w:hint="eastAsia"/>
          <w:bCs/>
          <w:szCs w:val="32"/>
        </w:rPr>
        <w:lastRenderedPageBreak/>
        <w:t>申报单。交割申报单将根据市场成员对申报信息的修改、上海清算所反馈的交割配对与交割结果进行同步更新。</w:t>
      </w:r>
    </w:p>
    <w:p w:rsidR="00986073" w:rsidRPr="009246CA" w:rsidRDefault="00986073" w:rsidP="00986073">
      <w:pPr>
        <w:adjustRightInd w:val="0"/>
        <w:snapToGrid w:val="0"/>
        <w:spacing w:line="560" w:lineRule="exact"/>
        <w:ind w:firstLine="200"/>
        <w:rPr>
          <w:rFonts w:ascii="仿宋" w:eastAsia="仿宋" w:hAnsi="仿宋"/>
          <w:bCs/>
          <w:szCs w:val="32"/>
        </w:rPr>
      </w:pPr>
    </w:p>
    <w:p w:rsidR="00986073" w:rsidRPr="001A3ACC" w:rsidRDefault="00986073" w:rsidP="00986073">
      <w:pPr>
        <w:adjustRightInd w:val="0"/>
        <w:snapToGrid w:val="0"/>
        <w:spacing w:line="560" w:lineRule="exact"/>
        <w:jc w:val="center"/>
        <w:rPr>
          <w:rFonts w:ascii="黑体" w:eastAsia="黑体" w:hAnsi="黑体"/>
          <w:bCs/>
          <w:szCs w:val="32"/>
        </w:rPr>
      </w:pPr>
      <w:r w:rsidRPr="001A3ACC">
        <w:rPr>
          <w:rFonts w:ascii="黑体" w:eastAsia="黑体" w:hAnsi="黑体" w:hint="eastAsia"/>
          <w:bCs/>
          <w:szCs w:val="32"/>
        </w:rPr>
        <w:t>第四章</w:t>
      </w:r>
      <w:r w:rsidRPr="001A3ACC">
        <w:rPr>
          <w:rFonts w:ascii="黑体" w:eastAsia="黑体" w:hAnsi="黑体"/>
          <w:bCs/>
          <w:szCs w:val="32"/>
        </w:rPr>
        <w:t xml:space="preserve"> </w:t>
      </w:r>
      <w:r w:rsidRPr="001A3ACC">
        <w:rPr>
          <w:rFonts w:ascii="黑体" w:eastAsia="黑体" w:hAnsi="黑体" w:hint="eastAsia"/>
          <w:bCs/>
          <w:szCs w:val="32"/>
        </w:rPr>
        <w:t>交割配对及处理</w:t>
      </w:r>
    </w:p>
    <w:p w:rsidR="00986073" w:rsidRPr="001A3ACC" w:rsidRDefault="00986073" w:rsidP="00986073">
      <w:pPr>
        <w:adjustRightInd w:val="0"/>
        <w:snapToGrid w:val="0"/>
        <w:spacing w:line="560" w:lineRule="exact"/>
        <w:ind w:firstLineChars="200" w:firstLine="643"/>
        <w:rPr>
          <w:rFonts w:ascii="仿宋_GB2312" w:hint="eastAsia"/>
          <w:bCs/>
          <w:szCs w:val="32"/>
        </w:rPr>
      </w:pPr>
      <w:r w:rsidRPr="001A3ACC">
        <w:rPr>
          <w:rFonts w:ascii="仿宋_GB2312" w:hint="eastAsia"/>
          <w:b/>
          <w:bCs/>
          <w:szCs w:val="32"/>
        </w:rPr>
        <w:t>第十六条</w:t>
      </w:r>
      <w:r w:rsidRPr="001A3ACC">
        <w:rPr>
          <w:rFonts w:ascii="仿宋_GB2312" w:hint="eastAsia"/>
          <w:bCs/>
          <w:szCs w:val="32"/>
        </w:rPr>
        <w:t xml:space="preserve"> 有效申报交割数量</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每轮申报日日终上海清算所从交易中心接收当日申报交割意向信息，按照各参与者当日申报数量和日终净持仓量的较小值确定其有效申报交割数量。</w:t>
      </w:r>
    </w:p>
    <w:p w:rsidR="00986073" w:rsidRPr="001A3ACC" w:rsidRDefault="00986073" w:rsidP="00986073">
      <w:pPr>
        <w:adjustRightInd w:val="0"/>
        <w:snapToGrid w:val="0"/>
        <w:spacing w:line="560" w:lineRule="exact"/>
        <w:ind w:firstLineChars="200" w:firstLine="643"/>
        <w:rPr>
          <w:rFonts w:ascii="仿宋_GB2312" w:hint="eastAsia"/>
          <w:bCs/>
          <w:szCs w:val="32"/>
        </w:rPr>
      </w:pPr>
      <w:r w:rsidRPr="001A3ACC">
        <w:rPr>
          <w:rFonts w:ascii="仿宋_GB2312" w:hint="eastAsia"/>
          <w:b/>
          <w:bCs/>
          <w:szCs w:val="32"/>
        </w:rPr>
        <w:t>第十七条</w:t>
      </w:r>
      <w:r w:rsidRPr="001A3ACC">
        <w:rPr>
          <w:rFonts w:ascii="仿宋_GB2312" w:hint="eastAsia"/>
          <w:bCs/>
          <w:szCs w:val="32"/>
        </w:rPr>
        <w:t xml:space="preserve"> 确定交割配对数量</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以全市场卖方（付券方）的有效申报交割数量作为每轮交割的全市场实际交割数量。</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最后交易日之前的交割申报，若全市场卖方（付券方）有效申报交割数量大于全市场买方（付款方）有效申报交割数量，则在全市场未申报的买方（付款方）持仓中，按“持仓日最久优先，相同持仓日按比例分配”原则选取配合进入交割的买方（付款方）持仓。若全市场卖方（付券方）有效申报交割数量小于全市场买方（付款方）有效申报交割数量，则在全市场已申报的买方（付款方）持仓中，按“申报意向优先，持仓日最久优先，相同持仓日按比例分配”的原则确定进入交割的买方（付款方）持仓，剔除多余的买方（付款方）申报持仓。</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最后交易日日终，上海清算所自动为未足额申报的买方（付款方）持仓生成虚拟交割意向。对于卖方（付券方）未足额申报的日终持仓，将导致卖方（付券方）交割失败，不</w:t>
      </w:r>
      <w:r w:rsidRPr="001A3ACC">
        <w:rPr>
          <w:rFonts w:ascii="仿宋_GB2312" w:hint="eastAsia"/>
          <w:bCs/>
          <w:szCs w:val="32"/>
        </w:rPr>
        <w:lastRenderedPageBreak/>
        <w:t>进入交割配对。若全市场卖方（付券方）有效申报交割数量小于全市场买方（付款方）有效申报交割数量，则在全市场已申报的买方（付款方）持仓中，按“申报意向优先，持仓日最久优先，相同持仓日按比例分配”的原则确定进入交割的买方（付款方）持仓，剔除多余的买方（付款方）申报持仓。</w:t>
      </w:r>
    </w:p>
    <w:p w:rsidR="00986073" w:rsidRPr="001A3ACC" w:rsidRDefault="00986073" w:rsidP="00986073">
      <w:pPr>
        <w:adjustRightInd w:val="0"/>
        <w:snapToGrid w:val="0"/>
        <w:spacing w:line="560" w:lineRule="exact"/>
        <w:ind w:firstLineChars="200" w:firstLine="643"/>
        <w:rPr>
          <w:rFonts w:ascii="仿宋_GB2312" w:hint="eastAsia"/>
          <w:bCs/>
          <w:szCs w:val="32"/>
        </w:rPr>
      </w:pPr>
      <w:r w:rsidRPr="001A3ACC">
        <w:rPr>
          <w:rFonts w:ascii="仿宋_GB2312" w:hint="eastAsia"/>
          <w:b/>
          <w:bCs/>
          <w:szCs w:val="32"/>
        </w:rPr>
        <w:t>第十八条</w:t>
      </w:r>
      <w:r w:rsidRPr="001A3ACC">
        <w:rPr>
          <w:rFonts w:ascii="仿宋_GB2312" w:hint="eastAsia"/>
          <w:bCs/>
          <w:szCs w:val="32"/>
        </w:rPr>
        <w:t xml:space="preserve"> 交割配对</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申报日日终上海清算所按照最少配对数原则进行交割配对，生成交割配对信息。市场成员根据交割配对信息进行交割结算。</w:t>
      </w:r>
    </w:p>
    <w:p w:rsidR="00986073" w:rsidRPr="001A3ACC" w:rsidRDefault="00986073" w:rsidP="00986073">
      <w:pPr>
        <w:adjustRightInd w:val="0"/>
        <w:snapToGrid w:val="0"/>
        <w:spacing w:line="560" w:lineRule="exact"/>
        <w:ind w:firstLineChars="200" w:firstLine="643"/>
        <w:rPr>
          <w:rFonts w:ascii="仿宋_GB2312" w:hint="eastAsia"/>
          <w:bCs/>
          <w:szCs w:val="32"/>
        </w:rPr>
      </w:pPr>
      <w:r w:rsidRPr="001A3ACC">
        <w:rPr>
          <w:rFonts w:ascii="仿宋_GB2312" w:hint="eastAsia"/>
          <w:b/>
          <w:bCs/>
          <w:szCs w:val="32"/>
        </w:rPr>
        <w:t>第十九条</w:t>
      </w:r>
      <w:r w:rsidRPr="001A3ACC">
        <w:rPr>
          <w:rFonts w:ascii="仿宋_GB2312" w:hint="eastAsia"/>
          <w:bCs/>
          <w:szCs w:val="32"/>
        </w:rPr>
        <w:t xml:space="preserve"> 交割配对信息反馈</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上海清算所将交割配对信息发送至清算会员，非清算会员的交割配对信息由其综合清算会员通知。</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交易中心根据上海清算所发送的交割配对信息更新交割申报单。</w:t>
      </w:r>
    </w:p>
    <w:p w:rsidR="00986073" w:rsidRPr="001A3ACC" w:rsidRDefault="00986073" w:rsidP="00986073">
      <w:pPr>
        <w:adjustRightInd w:val="0"/>
        <w:snapToGrid w:val="0"/>
        <w:spacing w:line="560" w:lineRule="exact"/>
        <w:ind w:firstLineChars="200" w:firstLine="643"/>
        <w:rPr>
          <w:rFonts w:ascii="仿宋_GB2312" w:hint="eastAsia"/>
          <w:bCs/>
          <w:szCs w:val="32"/>
        </w:rPr>
      </w:pPr>
      <w:r w:rsidRPr="001A3ACC">
        <w:rPr>
          <w:rFonts w:ascii="仿宋_GB2312" w:hint="eastAsia"/>
          <w:b/>
          <w:bCs/>
          <w:szCs w:val="32"/>
        </w:rPr>
        <w:t>第二十条</w:t>
      </w:r>
      <w:r w:rsidRPr="001A3ACC">
        <w:rPr>
          <w:rFonts w:ascii="仿宋_GB2312" w:hint="eastAsia"/>
          <w:bCs/>
          <w:szCs w:val="32"/>
        </w:rPr>
        <w:t xml:space="preserve"> 交割处理</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交割日日间上海清算所根据交割配对信息生成交割指令，交割双方进行交割指令确认后，上海清算所按DVP方式实时自动执行资金划付与债券交收。</w:t>
      </w:r>
    </w:p>
    <w:p w:rsidR="00986073" w:rsidRPr="001A3ACC" w:rsidRDefault="00986073" w:rsidP="00986073">
      <w:pPr>
        <w:adjustRightInd w:val="0"/>
        <w:snapToGrid w:val="0"/>
        <w:spacing w:line="560" w:lineRule="exact"/>
        <w:ind w:firstLineChars="200" w:firstLine="643"/>
        <w:rPr>
          <w:rFonts w:ascii="仿宋_GB2312" w:hint="eastAsia"/>
          <w:bCs/>
          <w:szCs w:val="32"/>
        </w:rPr>
      </w:pPr>
      <w:r w:rsidRPr="001A3ACC">
        <w:rPr>
          <w:rFonts w:ascii="仿宋_GB2312" w:hint="eastAsia"/>
          <w:b/>
          <w:bCs/>
          <w:szCs w:val="32"/>
        </w:rPr>
        <w:t>第二十一条</w:t>
      </w:r>
      <w:r w:rsidRPr="001A3ACC">
        <w:rPr>
          <w:rFonts w:ascii="仿宋_GB2312" w:hint="eastAsia"/>
          <w:bCs/>
          <w:szCs w:val="32"/>
        </w:rPr>
        <w:t xml:space="preserve"> 交割结果反馈</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交割日日终，上海清算所根据交割结算情况，向清算会员发送交割结算结果信息，非清算会员的交割结算结果信息由其综合清算会员通知。交易中心根据上海清算所发送的交割结算情况更新交割申报单。</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lastRenderedPageBreak/>
        <w:t>上海清算所根据交割结算结果进行持仓和保证金释放或进入交割失败处理，生成相应单据，清算会员可在上海清算所标准债券远期业务清算系统会员端查询，非清算会员相关信息由其综合清算会员通知。</w:t>
      </w:r>
    </w:p>
    <w:p w:rsidR="00986073" w:rsidRPr="001A3ACC" w:rsidRDefault="00986073" w:rsidP="00986073">
      <w:pPr>
        <w:adjustRightInd w:val="0"/>
        <w:snapToGrid w:val="0"/>
        <w:spacing w:line="560" w:lineRule="exact"/>
        <w:ind w:firstLineChars="200" w:firstLine="643"/>
        <w:rPr>
          <w:rFonts w:ascii="仿宋_GB2312" w:hint="eastAsia"/>
          <w:bCs/>
          <w:szCs w:val="32"/>
        </w:rPr>
      </w:pPr>
      <w:r w:rsidRPr="001A3ACC">
        <w:rPr>
          <w:rFonts w:ascii="仿宋_GB2312" w:hint="eastAsia"/>
          <w:b/>
          <w:bCs/>
          <w:szCs w:val="32"/>
        </w:rPr>
        <w:t>第二十二条</w:t>
      </w:r>
      <w:r w:rsidRPr="001A3ACC">
        <w:rPr>
          <w:rFonts w:ascii="仿宋_GB2312" w:hint="eastAsia"/>
          <w:bCs/>
          <w:szCs w:val="32"/>
        </w:rPr>
        <w:t xml:space="preserve"> 结算相关价格</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最后交易日之前，实物交割合约交割结算价为合约每日结算价。实物交割合约的每日结算价确定方法与现金交割合约的每日结算价确定方法一致。</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最后交易日，若当日合约成交不少于5笔，交割结算价为该合约当天全部交易的成交价格按照成交量的加权平均价；若当日合约成交少于5笔，交割结算价的计算公式为：交割结算价=该合约上一交易日结算价+基准合约当日结算价-基准合约上一交易日结算价，其中，基准合约为当日离交割月份最近的合约。</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交易中心和上海清算所有权根据每日结算价和交割结算价的价格形成后备机制，对异常价格进行调整。</w:t>
      </w:r>
    </w:p>
    <w:p w:rsidR="00986073" w:rsidRPr="001A3ACC" w:rsidRDefault="00986073" w:rsidP="00986073">
      <w:pPr>
        <w:adjustRightInd w:val="0"/>
        <w:snapToGrid w:val="0"/>
        <w:spacing w:line="560" w:lineRule="exact"/>
        <w:ind w:firstLineChars="200" w:firstLine="643"/>
        <w:rPr>
          <w:rFonts w:ascii="仿宋_GB2312" w:hint="eastAsia"/>
          <w:bCs/>
          <w:szCs w:val="32"/>
        </w:rPr>
      </w:pPr>
      <w:r w:rsidRPr="001A3ACC">
        <w:rPr>
          <w:rFonts w:ascii="仿宋_GB2312" w:hint="eastAsia"/>
          <w:b/>
          <w:bCs/>
          <w:szCs w:val="32"/>
        </w:rPr>
        <w:t>第二十三条</w:t>
      </w:r>
      <w:r w:rsidRPr="001A3ACC">
        <w:rPr>
          <w:rFonts w:ascii="仿宋_GB2312" w:hint="eastAsia"/>
          <w:bCs/>
          <w:szCs w:val="32"/>
        </w:rPr>
        <w:t xml:space="preserve"> 交割货款</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交割货款以交割结算价为基础进行计算，计算公式为：交割货款=交割债券面值总额×(合约交割结算价×交割债券转换因子+交割债券应计利息)/100。</w:t>
      </w:r>
    </w:p>
    <w:p w:rsidR="00986073" w:rsidRPr="009246CA" w:rsidRDefault="00986073" w:rsidP="00986073">
      <w:pPr>
        <w:adjustRightInd w:val="0"/>
        <w:snapToGrid w:val="0"/>
        <w:spacing w:line="560" w:lineRule="exact"/>
        <w:ind w:firstLineChars="200" w:firstLine="640"/>
        <w:rPr>
          <w:rFonts w:ascii="仿宋" w:eastAsia="仿宋" w:hAnsi="仿宋"/>
          <w:szCs w:val="32"/>
        </w:rPr>
      </w:pPr>
      <w:r w:rsidRPr="001A3ACC">
        <w:rPr>
          <w:rFonts w:ascii="仿宋_GB2312" w:hint="eastAsia"/>
          <w:bCs/>
          <w:szCs w:val="32"/>
        </w:rPr>
        <w:t>其中，交割债券应计利息为该可交割债券上一付息日至交割日的利息（附</w:t>
      </w:r>
      <w:r>
        <w:rPr>
          <w:rFonts w:ascii="仿宋_GB2312" w:hint="eastAsia"/>
          <w:bCs/>
          <w:szCs w:val="32"/>
        </w:rPr>
        <w:t>2</w:t>
      </w:r>
      <w:r w:rsidRPr="001A3ACC">
        <w:rPr>
          <w:rFonts w:ascii="仿宋_GB2312" w:hint="eastAsia"/>
          <w:bCs/>
          <w:szCs w:val="32"/>
        </w:rPr>
        <w:t>）。</w:t>
      </w:r>
    </w:p>
    <w:p w:rsidR="00986073" w:rsidRPr="009246CA" w:rsidRDefault="00986073" w:rsidP="00986073">
      <w:pPr>
        <w:spacing w:line="560" w:lineRule="exact"/>
        <w:rPr>
          <w:rFonts w:ascii="仿宋" w:eastAsia="仿宋" w:hAnsi="仿宋"/>
          <w:szCs w:val="32"/>
        </w:rPr>
      </w:pPr>
    </w:p>
    <w:p w:rsidR="00986073" w:rsidRPr="001A3ACC" w:rsidRDefault="00986073" w:rsidP="00986073">
      <w:pPr>
        <w:adjustRightInd w:val="0"/>
        <w:snapToGrid w:val="0"/>
        <w:spacing w:line="560" w:lineRule="exact"/>
        <w:jc w:val="center"/>
        <w:rPr>
          <w:rFonts w:ascii="黑体" w:eastAsia="黑体" w:hAnsi="黑体"/>
          <w:bCs/>
          <w:szCs w:val="32"/>
        </w:rPr>
      </w:pPr>
      <w:r w:rsidRPr="001A3ACC">
        <w:rPr>
          <w:rFonts w:ascii="黑体" w:eastAsia="黑体" w:hAnsi="黑体" w:hint="eastAsia"/>
          <w:bCs/>
          <w:szCs w:val="32"/>
        </w:rPr>
        <w:t>第五章</w:t>
      </w:r>
      <w:r w:rsidRPr="001A3ACC">
        <w:rPr>
          <w:rFonts w:ascii="黑体" w:eastAsia="黑体" w:hAnsi="黑体"/>
          <w:bCs/>
          <w:szCs w:val="32"/>
        </w:rPr>
        <w:t xml:space="preserve"> 实物</w:t>
      </w:r>
      <w:r w:rsidRPr="001A3ACC">
        <w:rPr>
          <w:rFonts w:ascii="黑体" w:eastAsia="黑体" w:hAnsi="黑体" w:hint="eastAsia"/>
          <w:bCs/>
          <w:szCs w:val="32"/>
        </w:rPr>
        <w:t>交割失败</w:t>
      </w:r>
    </w:p>
    <w:p w:rsidR="00986073" w:rsidRPr="001A3ACC" w:rsidRDefault="00986073" w:rsidP="00986073">
      <w:pPr>
        <w:adjustRightInd w:val="0"/>
        <w:snapToGrid w:val="0"/>
        <w:spacing w:line="560" w:lineRule="exact"/>
        <w:ind w:firstLineChars="200" w:firstLine="643"/>
        <w:rPr>
          <w:rFonts w:ascii="仿宋_GB2312" w:hint="eastAsia"/>
          <w:bCs/>
          <w:szCs w:val="32"/>
        </w:rPr>
      </w:pPr>
      <w:r w:rsidRPr="001A3ACC">
        <w:rPr>
          <w:rFonts w:ascii="仿宋_GB2312" w:hint="eastAsia"/>
          <w:b/>
          <w:bCs/>
          <w:szCs w:val="32"/>
        </w:rPr>
        <w:lastRenderedPageBreak/>
        <w:t>第二十四条</w:t>
      </w:r>
      <w:r w:rsidRPr="001A3ACC">
        <w:rPr>
          <w:rFonts w:ascii="仿宋_GB2312" w:hint="eastAsia"/>
          <w:bCs/>
          <w:szCs w:val="32"/>
        </w:rPr>
        <w:t xml:space="preserve"> 交割失败情形</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在规定时间内，交割方未能足额完成债券或资金交付的，将导致实物交割失败，主要情况包括卖方券不足、卖方未确认交割指令、最后交易日卖方未足额申报、买方款不足、买方未确认交割指令、买方无有效债券账户、买卖双方未确认交割指令。</w:t>
      </w:r>
    </w:p>
    <w:p w:rsidR="00986073" w:rsidRPr="001A3ACC" w:rsidRDefault="00986073" w:rsidP="00986073">
      <w:pPr>
        <w:adjustRightInd w:val="0"/>
        <w:snapToGrid w:val="0"/>
        <w:spacing w:line="560" w:lineRule="exact"/>
        <w:ind w:firstLineChars="200" w:firstLine="643"/>
        <w:rPr>
          <w:rFonts w:ascii="仿宋_GB2312" w:hint="eastAsia"/>
          <w:bCs/>
          <w:szCs w:val="32"/>
        </w:rPr>
      </w:pPr>
      <w:r w:rsidRPr="001A3ACC">
        <w:rPr>
          <w:rFonts w:ascii="仿宋_GB2312" w:hint="eastAsia"/>
          <w:b/>
          <w:bCs/>
          <w:szCs w:val="32"/>
        </w:rPr>
        <w:t>第二十五条</w:t>
      </w:r>
      <w:r w:rsidRPr="001A3ACC">
        <w:rPr>
          <w:rFonts w:ascii="仿宋_GB2312" w:hint="eastAsia"/>
          <w:bCs/>
          <w:szCs w:val="32"/>
        </w:rPr>
        <w:t xml:space="preserve"> 交割失败处理</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交割失败方应通过上海清算所向对方支付差额补偿金，并向上海清算所支付未完成交割部分合约价值一定比例的履约补偿金，上海清算所将履约补偿金的一定比例支付履约对手方，具体支付比例由上海清算所确定。若非清算会员为差额补偿金、履约补偿金的应收或应付方，上海清算所与其综合清算会员进行资金收付，综合清算会员与非清算会员进行资金收付。</w:t>
      </w:r>
    </w:p>
    <w:p w:rsidR="00986073" w:rsidRPr="001A3ACC" w:rsidRDefault="00986073" w:rsidP="00986073">
      <w:pPr>
        <w:adjustRightInd w:val="0"/>
        <w:snapToGrid w:val="0"/>
        <w:spacing w:line="560" w:lineRule="exact"/>
        <w:ind w:firstLineChars="200" w:firstLine="643"/>
        <w:rPr>
          <w:rFonts w:ascii="仿宋_GB2312" w:hint="eastAsia"/>
          <w:bCs/>
          <w:szCs w:val="32"/>
        </w:rPr>
      </w:pPr>
      <w:r w:rsidRPr="001A3ACC">
        <w:rPr>
          <w:rFonts w:ascii="仿宋_GB2312" w:hint="eastAsia"/>
          <w:b/>
          <w:bCs/>
          <w:szCs w:val="32"/>
        </w:rPr>
        <w:t>第二十六条</w:t>
      </w:r>
      <w:r w:rsidRPr="001A3ACC">
        <w:rPr>
          <w:rFonts w:ascii="仿宋_GB2312" w:hint="eastAsia"/>
          <w:bCs/>
          <w:szCs w:val="32"/>
        </w:rPr>
        <w:t xml:space="preserve"> 差额补偿金及履约补偿金</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若卖方（付券方）交割失败，支付的差额补偿金为：差额补偿金= Max[未完成交割部分合约数量×(合约面值/100)×(基准债券价格（净价）-交割结算价×转换因子), 0]，支付的履约补偿金为：履约补偿金=未完成交割部分合约价值×履约补偿金比例。</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若买方（付款方）交割失败，支付的差额补偿金为：差额补偿金= Max[未完成交割部分合约数量×(合约面值/100)×(交割结算价×转换因子-基准债券价格（净价）)，0]，支付的履约补偿金为：履约补偿金=未完成交割部分合约价值</w:t>
      </w:r>
      <w:r w:rsidRPr="001A3ACC">
        <w:rPr>
          <w:rFonts w:ascii="仿宋_GB2312" w:hint="eastAsia"/>
          <w:bCs/>
          <w:szCs w:val="32"/>
        </w:rPr>
        <w:lastRenderedPageBreak/>
        <w:t>×履约补偿金比例。</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若双方交割失败，则买卖双方向上海清算所支付履约补偿金，履约补偿金=未完成交割部分合约价值×履约补偿金比例。</w:t>
      </w:r>
    </w:p>
    <w:p w:rsidR="00986073" w:rsidRPr="001A3ACC" w:rsidRDefault="00986073" w:rsidP="00986073">
      <w:pPr>
        <w:adjustRightInd w:val="0"/>
        <w:snapToGrid w:val="0"/>
        <w:spacing w:line="560" w:lineRule="exact"/>
        <w:ind w:firstLineChars="200" w:firstLine="640"/>
        <w:rPr>
          <w:rFonts w:ascii="仿宋_GB2312" w:hAnsi="仿宋" w:hint="eastAsia"/>
          <w:szCs w:val="32"/>
        </w:rPr>
      </w:pPr>
      <w:r w:rsidRPr="001A3ACC">
        <w:rPr>
          <w:rFonts w:ascii="仿宋_GB2312" w:hint="eastAsia"/>
          <w:bCs/>
          <w:szCs w:val="32"/>
        </w:rPr>
        <w:t>其中未完成交割部分合约价值=未完成交割部分合约数量×交割结算价×(合约面值/100)。</w:t>
      </w:r>
    </w:p>
    <w:p w:rsidR="00986073" w:rsidRPr="001A3ACC" w:rsidRDefault="00986073" w:rsidP="00986073">
      <w:pPr>
        <w:adjustRightInd w:val="0"/>
        <w:snapToGrid w:val="0"/>
        <w:spacing w:line="560" w:lineRule="exact"/>
        <w:ind w:firstLineChars="200" w:firstLine="643"/>
        <w:rPr>
          <w:rFonts w:ascii="仿宋_GB2312" w:hint="eastAsia"/>
          <w:bCs/>
          <w:szCs w:val="32"/>
        </w:rPr>
      </w:pPr>
      <w:r w:rsidRPr="001A3ACC">
        <w:rPr>
          <w:rFonts w:ascii="仿宋_GB2312" w:hint="eastAsia"/>
          <w:b/>
          <w:bCs/>
          <w:szCs w:val="32"/>
        </w:rPr>
        <w:t>第二十七条</w:t>
      </w:r>
      <w:r w:rsidRPr="001A3ACC">
        <w:rPr>
          <w:rFonts w:ascii="仿宋_GB2312" w:hint="eastAsia"/>
          <w:bCs/>
          <w:szCs w:val="32"/>
        </w:rPr>
        <w:t xml:space="preserve"> 基准债券</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最后交易日之前申请交割的，以卖方（付券方）申报的债券作为基准债券，以申报日基准债券估值作为基准债券价格；最后交易日进入交割的，以该合约交割量最大的债券作为基准债券，以最后交易日基准债券估值作为基准债券价格。</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按照上述方式无法确定基准债券的，上海清算所有权指定基准债券。</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基准债券价格以上海清算所认定的机构发布的估值数据为准。</w:t>
      </w:r>
    </w:p>
    <w:p w:rsidR="00986073" w:rsidRPr="001A3ACC" w:rsidRDefault="00986073" w:rsidP="00986073">
      <w:pPr>
        <w:adjustRightInd w:val="0"/>
        <w:snapToGrid w:val="0"/>
        <w:spacing w:line="560" w:lineRule="exact"/>
        <w:ind w:firstLineChars="200" w:firstLine="643"/>
        <w:rPr>
          <w:rFonts w:ascii="仿宋_GB2312" w:hint="eastAsia"/>
          <w:bCs/>
          <w:szCs w:val="32"/>
        </w:rPr>
      </w:pPr>
      <w:r w:rsidRPr="001A3ACC">
        <w:rPr>
          <w:rFonts w:ascii="仿宋_GB2312" w:hint="eastAsia"/>
          <w:b/>
          <w:bCs/>
          <w:szCs w:val="32"/>
        </w:rPr>
        <w:t>第二十八条</w:t>
      </w:r>
      <w:r w:rsidRPr="001A3ACC">
        <w:rPr>
          <w:rFonts w:ascii="仿宋_GB2312" w:hint="eastAsia"/>
          <w:bCs/>
          <w:szCs w:val="32"/>
        </w:rPr>
        <w:t xml:space="preserve"> 履约补偿金比例</w:t>
      </w:r>
    </w:p>
    <w:p w:rsidR="00986073" w:rsidRPr="001A3ACC" w:rsidRDefault="00986073" w:rsidP="00986073">
      <w:pPr>
        <w:adjustRightInd w:val="0"/>
        <w:snapToGrid w:val="0"/>
        <w:spacing w:line="560" w:lineRule="exact"/>
        <w:ind w:firstLineChars="200" w:firstLine="640"/>
        <w:rPr>
          <w:rFonts w:ascii="仿宋_GB2312" w:hint="eastAsia"/>
          <w:bCs/>
          <w:szCs w:val="32"/>
        </w:rPr>
      </w:pPr>
      <w:r w:rsidRPr="001A3ACC">
        <w:rPr>
          <w:rFonts w:ascii="仿宋_GB2312" w:hint="eastAsia"/>
          <w:bCs/>
          <w:szCs w:val="32"/>
        </w:rPr>
        <w:t>上海清算所根据市场情况确定并定期调整履约补偿金比例，向全市场公布。</w:t>
      </w:r>
    </w:p>
    <w:p w:rsidR="00986073" w:rsidRPr="001A3ACC" w:rsidRDefault="00986073" w:rsidP="00986073">
      <w:pPr>
        <w:adjustRightInd w:val="0"/>
        <w:snapToGrid w:val="0"/>
        <w:spacing w:line="560" w:lineRule="exact"/>
        <w:ind w:firstLineChars="200" w:firstLine="643"/>
        <w:rPr>
          <w:rFonts w:ascii="仿宋_GB2312" w:hint="eastAsia"/>
          <w:bCs/>
          <w:szCs w:val="32"/>
        </w:rPr>
      </w:pPr>
      <w:r w:rsidRPr="001A3ACC">
        <w:rPr>
          <w:rFonts w:ascii="仿宋_GB2312" w:hint="eastAsia"/>
          <w:b/>
          <w:bCs/>
          <w:szCs w:val="32"/>
        </w:rPr>
        <w:t>第二十九条</w:t>
      </w:r>
      <w:r w:rsidRPr="001A3ACC">
        <w:rPr>
          <w:rFonts w:ascii="仿宋_GB2312" w:hint="eastAsia"/>
          <w:bCs/>
          <w:szCs w:val="32"/>
        </w:rPr>
        <w:t xml:space="preserve"> 后续处置</w:t>
      </w:r>
    </w:p>
    <w:p w:rsidR="00986073" w:rsidRPr="001A3ACC" w:rsidRDefault="00986073" w:rsidP="00986073">
      <w:pPr>
        <w:adjustRightInd w:val="0"/>
        <w:snapToGrid w:val="0"/>
        <w:spacing w:line="560" w:lineRule="exact"/>
        <w:ind w:firstLineChars="200" w:firstLine="640"/>
        <w:rPr>
          <w:rFonts w:ascii="仿宋_GB2312" w:hAnsi="仿宋" w:cs="Calibri" w:hint="eastAsia"/>
          <w:iCs/>
          <w:kern w:val="0"/>
          <w:szCs w:val="32"/>
        </w:rPr>
      </w:pPr>
      <w:r w:rsidRPr="001A3ACC">
        <w:rPr>
          <w:rFonts w:ascii="仿宋_GB2312" w:hint="eastAsia"/>
          <w:bCs/>
          <w:szCs w:val="32"/>
        </w:rPr>
        <w:t>对于未能在规定时间内足额支付相应补偿金的交割方，上海清算所将按照《银行间市场清算所集中清算业务违约处置指引》相关规定进行后续处置。</w:t>
      </w:r>
    </w:p>
    <w:p w:rsidR="00986073" w:rsidRPr="001A3ACC" w:rsidRDefault="00986073" w:rsidP="00986073">
      <w:pPr>
        <w:adjustRightInd w:val="0"/>
        <w:snapToGrid w:val="0"/>
        <w:spacing w:line="560" w:lineRule="exact"/>
        <w:ind w:firstLineChars="200" w:firstLine="640"/>
        <w:rPr>
          <w:rFonts w:ascii="仿宋_GB2312" w:hAnsi="仿宋" w:cs="Calibri" w:hint="eastAsia"/>
          <w:iCs/>
          <w:kern w:val="0"/>
          <w:szCs w:val="32"/>
        </w:rPr>
      </w:pPr>
    </w:p>
    <w:p w:rsidR="00986073" w:rsidRPr="001A3ACC" w:rsidRDefault="00986073" w:rsidP="00986073">
      <w:pPr>
        <w:adjustRightInd w:val="0"/>
        <w:snapToGrid w:val="0"/>
        <w:spacing w:line="560" w:lineRule="exact"/>
        <w:jc w:val="center"/>
        <w:rPr>
          <w:rFonts w:ascii="黑体" w:eastAsia="黑体" w:hAnsi="黑体"/>
          <w:bCs/>
          <w:szCs w:val="32"/>
        </w:rPr>
      </w:pPr>
      <w:r w:rsidRPr="001A3ACC">
        <w:rPr>
          <w:rFonts w:ascii="黑体" w:eastAsia="黑体" w:hAnsi="黑体" w:hint="eastAsia"/>
          <w:bCs/>
          <w:szCs w:val="32"/>
        </w:rPr>
        <w:t>第六章</w:t>
      </w:r>
      <w:r w:rsidRPr="001A3ACC">
        <w:rPr>
          <w:rFonts w:ascii="黑体" w:eastAsia="黑体" w:hAnsi="黑体"/>
          <w:bCs/>
          <w:szCs w:val="32"/>
        </w:rPr>
        <w:t xml:space="preserve"> </w:t>
      </w:r>
      <w:r w:rsidRPr="001A3ACC">
        <w:rPr>
          <w:rFonts w:ascii="黑体" w:eastAsia="黑体" w:hAnsi="黑体" w:hint="eastAsia"/>
          <w:bCs/>
          <w:szCs w:val="32"/>
        </w:rPr>
        <w:t>风险管理</w:t>
      </w:r>
    </w:p>
    <w:p w:rsidR="00986073" w:rsidRPr="009246CA" w:rsidRDefault="00986073" w:rsidP="00986073">
      <w:pPr>
        <w:adjustRightInd w:val="0"/>
        <w:snapToGrid w:val="0"/>
        <w:spacing w:line="560" w:lineRule="exact"/>
        <w:ind w:firstLineChars="200" w:firstLine="643"/>
        <w:rPr>
          <w:rFonts w:ascii="仿宋_GB2312"/>
          <w:bCs/>
          <w:szCs w:val="32"/>
        </w:rPr>
      </w:pPr>
      <w:r w:rsidRPr="009246CA">
        <w:rPr>
          <w:rFonts w:ascii="仿宋_GB2312" w:hint="eastAsia"/>
          <w:b/>
          <w:bCs/>
          <w:szCs w:val="32"/>
        </w:rPr>
        <w:lastRenderedPageBreak/>
        <w:t>第三十条</w:t>
      </w:r>
      <w:r w:rsidRPr="009246CA">
        <w:rPr>
          <w:rFonts w:ascii="仿宋_GB2312" w:hint="eastAsia"/>
          <w:bCs/>
          <w:szCs w:val="32"/>
        </w:rPr>
        <w:tab/>
        <w:t>价格波动管理</w:t>
      </w:r>
    </w:p>
    <w:p w:rsidR="00986073" w:rsidRPr="009246CA"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本币交易平台设定每类合约的价格较每日结算价（新合约上市首日为挂牌基准价）的波动幅度，交易中心可根据市场实际情况调整价格波动幅度。</w:t>
      </w:r>
    </w:p>
    <w:p w:rsidR="00986073" w:rsidRPr="009246CA" w:rsidRDefault="00986073" w:rsidP="00986073">
      <w:pPr>
        <w:adjustRightInd w:val="0"/>
        <w:snapToGrid w:val="0"/>
        <w:spacing w:line="560" w:lineRule="exact"/>
        <w:ind w:firstLineChars="200" w:firstLine="643"/>
        <w:rPr>
          <w:rFonts w:ascii="仿宋_GB2312"/>
          <w:bCs/>
          <w:szCs w:val="32"/>
        </w:rPr>
      </w:pPr>
      <w:r w:rsidRPr="009246CA">
        <w:rPr>
          <w:rFonts w:ascii="仿宋_GB2312" w:hint="eastAsia"/>
          <w:b/>
          <w:bCs/>
          <w:szCs w:val="32"/>
        </w:rPr>
        <w:t>第三十一条</w:t>
      </w:r>
      <w:r w:rsidRPr="009246CA">
        <w:rPr>
          <w:rFonts w:ascii="仿宋_GB2312" w:hint="eastAsia"/>
          <w:bCs/>
          <w:szCs w:val="32"/>
        </w:rPr>
        <w:t xml:space="preserve"> 事前限额控制</w:t>
      </w:r>
    </w:p>
    <w:p w:rsidR="00986073" w:rsidRPr="009246CA"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交易中心基于上海清算所计算的持仓限额，在本币交易平台中对市场成员进行报价和成交的事前限额控制。</w:t>
      </w:r>
    </w:p>
    <w:p w:rsidR="00986073" w:rsidRPr="009246CA" w:rsidRDefault="00986073" w:rsidP="00986073">
      <w:pPr>
        <w:adjustRightInd w:val="0"/>
        <w:snapToGrid w:val="0"/>
        <w:spacing w:line="560" w:lineRule="exact"/>
        <w:ind w:firstLineChars="200" w:firstLine="643"/>
        <w:rPr>
          <w:rFonts w:ascii="仿宋_GB2312"/>
          <w:bCs/>
          <w:szCs w:val="32"/>
        </w:rPr>
      </w:pPr>
      <w:r w:rsidRPr="009246CA">
        <w:rPr>
          <w:rFonts w:ascii="仿宋_GB2312" w:hint="eastAsia"/>
          <w:b/>
          <w:bCs/>
          <w:szCs w:val="32"/>
        </w:rPr>
        <w:t>第三十二条</w:t>
      </w:r>
      <w:r w:rsidRPr="009246CA">
        <w:rPr>
          <w:rFonts w:ascii="仿宋_GB2312"/>
          <w:bCs/>
          <w:szCs w:val="32"/>
        </w:rPr>
        <w:tab/>
      </w:r>
      <w:r w:rsidRPr="009246CA">
        <w:rPr>
          <w:rFonts w:ascii="仿宋_GB2312" w:hint="eastAsia"/>
          <w:bCs/>
          <w:szCs w:val="32"/>
        </w:rPr>
        <w:t>交易监测</w:t>
      </w:r>
    </w:p>
    <w:p w:rsidR="00986073" w:rsidRPr="009246CA"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交易中心将对实物交割合约交易及交割情况进行监测。对于存在异常情况的，交易中心有权采取约谈、书面警告、通报、暂停和取消标准债券远期市场交易权限等处分措施。</w:t>
      </w:r>
    </w:p>
    <w:p w:rsidR="00986073" w:rsidRPr="009246CA" w:rsidRDefault="00986073" w:rsidP="00986073">
      <w:pPr>
        <w:adjustRightInd w:val="0"/>
        <w:snapToGrid w:val="0"/>
        <w:spacing w:line="560" w:lineRule="exact"/>
        <w:ind w:firstLineChars="200" w:firstLine="643"/>
        <w:rPr>
          <w:rFonts w:ascii="仿宋_GB2312"/>
          <w:bCs/>
          <w:szCs w:val="32"/>
        </w:rPr>
      </w:pPr>
      <w:r w:rsidRPr="009246CA">
        <w:rPr>
          <w:rFonts w:ascii="仿宋_GB2312" w:hint="eastAsia"/>
          <w:b/>
          <w:bCs/>
          <w:szCs w:val="32"/>
        </w:rPr>
        <w:t>第三十三条</w:t>
      </w:r>
      <w:r w:rsidRPr="009246CA">
        <w:rPr>
          <w:rFonts w:ascii="仿宋_GB2312"/>
          <w:bCs/>
          <w:szCs w:val="32"/>
        </w:rPr>
        <w:t xml:space="preserve"> </w:t>
      </w:r>
      <w:r w:rsidRPr="009246CA">
        <w:rPr>
          <w:rFonts w:ascii="仿宋_GB2312" w:hint="eastAsia"/>
          <w:bCs/>
          <w:szCs w:val="32"/>
        </w:rPr>
        <w:t>梯度保证金</w:t>
      </w:r>
    </w:p>
    <w:p w:rsidR="00986073" w:rsidRPr="009246CA"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上海清算所采用梯度保证金制度对实物交割合约收取保证金，从交割月份前两个交易日日终结算时起提高该交割月份合约保证金率，并向市场公布。</w:t>
      </w:r>
    </w:p>
    <w:p w:rsidR="00986073" w:rsidRPr="009246CA" w:rsidRDefault="00986073" w:rsidP="00986073">
      <w:pPr>
        <w:adjustRightInd w:val="0"/>
        <w:snapToGrid w:val="0"/>
        <w:spacing w:line="560" w:lineRule="exact"/>
        <w:ind w:firstLineChars="200" w:firstLine="643"/>
        <w:rPr>
          <w:rFonts w:ascii="仿宋_GB2312"/>
          <w:bCs/>
          <w:szCs w:val="32"/>
        </w:rPr>
      </w:pPr>
      <w:r w:rsidRPr="009246CA">
        <w:rPr>
          <w:rFonts w:ascii="仿宋_GB2312" w:hint="eastAsia"/>
          <w:b/>
          <w:bCs/>
          <w:szCs w:val="32"/>
        </w:rPr>
        <w:t>第三十四条</w:t>
      </w:r>
      <w:r w:rsidRPr="009246CA">
        <w:rPr>
          <w:rFonts w:ascii="仿宋_GB2312"/>
          <w:bCs/>
          <w:szCs w:val="32"/>
        </w:rPr>
        <w:t xml:space="preserve"> </w:t>
      </w:r>
      <w:r w:rsidRPr="009246CA">
        <w:rPr>
          <w:rFonts w:ascii="仿宋_GB2312" w:hint="eastAsia"/>
          <w:bCs/>
          <w:szCs w:val="32"/>
        </w:rPr>
        <w:t>梯度持仓上限</w:t>
      </w:r>
    </w:p>
    <w:p w:rsidR="00986073" w:rsidRPr="009246CA"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上海清算所对实物交割合约设置梯度持仓上限标准，合约持仓上限是指单一市场参与者某一合约单边净持仓的上限。自上市之日起，各合约品种使用非交割月份下的持仓上限；自交割月份前一个交易日起，各合约品种使用交割月份的持仓上限。市场成员某一合约单边净持仓超过合约持仓上限的，上海清算所将要求其尽快减仓，并对交割月份超出持仓上限的部分加收超仓保证金。</w:t>
      </w:r>
    </w:p>
    <w:p w:rsidR="00986073" w:rsidRPr="009246CA"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临近交割月份，市场成员应自行减仓，确保其持仓满足</w:t>
      </w:r>
      <w:r w:rsidRPr="009246CA">
        <w:rPr>
          <w:rFonts w:ascii="仿宋_GB2312" w:hint="eastAsia"/>
          <w:bCs/>
          <w:szCs w:val="32"/>
        </w:rPr>
        <w:lastRenderedPageBreak/>
        <w:t>交割月份持仓上限要求；若市场成员未及时减仓的，上海清算所或非清算会员的综合清算会员有权对超限部分进行强行平仓。</w:t>
      </w:r>
    </w:p>
    <w:p w:rsidR="00986073" w:rsidRPr="009246CA" w:rsidRDefault="00986073" w:rsidP="00986073">
      <w:pPr>
        <w:adjustRightInd w:val="0"/>
        <w:snapToGrid w:val="0"/>
        <w:spacing w:line="560" w:lineRule="exact"/>
        <w:ind w:firstLineChars="200" w:firstLine="643"/>
        <w:rPr>
          <w:rFonts w:ascii="仿宋_GB2312"/>
          <w:bCs/>
          <w:szCs w:val="32"/>
        </w:rPr>
      </w:pPr>
      <w:r w:rsidRPr="009246CA">
        <w:rPr>
          <w:rFonts w:ascii="仿宋_GB2312" w:hint="eastAsia"/>
          <w:b/>
          <w:bCs/>
          <w:szCs w:val="32"/>
        </w:rPr>
        <w:t>第三十五条</w:t>
      </w:r>
      <w:r w:rsidRPr="009246CA">
        <w:rPr>
          <w:rFonts w:ascii="仿宋_GB2312"/>
          <w:bCs/>
          <w:szCs w:val="32"/>
        </w:rPr>
        <w:t xml:space="preserve"> </w:t>
      </w:r>
      <w:r w:rsidRPr="009246CA">
        <w:rPr>
          <w:rFonts w:ascii="仿宋_GB2312" w:hint="eastAsia"/>
          <w:bCs/>
          <w:szCs w:val="32"/>
        </w:rPr>
        <w:t>风控指标计算</w:t>
      </w:r>
    </w:p>
    <w:p w:rsidR="00986073" w:rsidRPr="009246CA" w:rsidRDefault="00986073" w:rsidP="00986073">
      <w:pPr>
        <w:adjustRightInd w:val="0"/>
        <w:snapToGrid w:val="0"/>
        <w:spacing w:line="560" w:lineRule="exact"/>
        <w:ind w:firstLineChars="200" w:firstLine="640"/>
        <w:rPr>
          <w:rFonts w:ascii="仿宋" w:eastAsia="仿宋" w:hAnsi="仿宋"/>
          <w:szCs w:val="32"/>
        </w:rPr>
      </w:pPr>
      <w:r w:rsidRPr="009246CA">
        <w:rPr>
          <w:rFonts w:ascii="仿宋_GB2312" w:hint="eastAsia"/>
          <w:bCs/>
          <w:szCs w:val="32"/>
        </w:rPr>
        <w:t>实物交割合约保证金、持仓量等与现金交割合约的相关风控指标以单个合约绝对值加总的方式计算，实物交割合约盈亏与现金交割合约盈亏轧差计算。实物交割合约保证金和持仓计算公式与现金交割保持一致。</w:t>
      </w:r>
    </w:p>
    <w:p w:rsidR="00986073" w:rsidRPr="009246CA" w:rsidRDefault="00986073" w:rsidP="00986073">
      <w:pPr>
        <w:adjustRightInd w:val="0"/>
        <w:snapToGrid w:val="0"/>
        <w:spacing w:line="560" w:lineRule="exact"/>
        <w:ind w:firstLineChars="200" w:firstLine="640"/>
        <w:rPr>
          <w:rFonts w:ascii="仿宋" w:eastAsia="仿宋" w:hAnsi="仿宋"/>
          <w:szCs w:val="32"/>
        </w:rPr>
      </w:pPr>
    </w:p>
    <w:p w:rsidR="00986073" w:rsidRPr="001A3ACC" w:rsidRDefault="00986073" w:rsidP="00986073">
      <w:pPr>
        <w:adjustRightInd w:val="0"/>
        <w:snapToGrid w:val="0"/>
        <w:spacing w:line="560" w:lineRule="exact"/>
        <w:jc w:val="center"/>
        <w:rPr>
          <w:rFonts w:ascii="黑体" w:eastAsia="黑体" w:hAnsi="黑体"/>
          <w:bCs/>
          <w:szCs w:val="32"/>
        </w:rPr>
      </w:pPr>
      <w:r w:rsidRPr="001A3ACC">
        <w:rPr>
          <w:rFonts w:ascii="黑体" w:eastAsia="黑体" w:hAnsi="黑体" w:hint="eastAsia"/>
          <w:bCs/>
          <w:szCs w:val="32"/>
        </w:rPr>
        <w:t>第七章</w:t>
      </w:r>
      <w:r w:rsidRPr="001A3ACC">
        <w:rPr>
          <w:rFonts w:ascii="黑体" w:eastAsia="黑体" w:hAnsi="黑体"/>
          <w:bCs/>
          <w:szCs w:val="32"/>
        </w:rPr>
        <w:t xml:space="preserve"> </w:t>
      </w:r>
      <w:r w:rsidRPr="001A3ACC">
        <w:rPr>
          <w:rFonts w:ascii="黑体" w:eastAsia="黑体" w:hAnsi="黑体" w:hint="eastAsia"/>
          <w:bCs/>
          <w:szCs w:val="32"/>
        </w:rPr>
        <w:t>附则</w:t>
      </w:r>
    </w:p>
    <w:p w:rsidR="00986073" w:rsidRPr="009246CA" w:rsidRDefault="00986073" w:rsidP="00986073">
      <w:pPr>
        <w:adjustRightInd w:val="0"/>
        <w:snapToGrid w:val="0"/>
        <w:spacing w:line="560" w:lineRule="exact"/>
        <w:ind w:firstLineChars="200" w:firstLine="643"/>
        <w:rPr>
          <w:rFonts w:ascii="仿宋_GB2312"/>
          <w:bCs/>
          <w:szCs w:val="32"/>
        </w:rPr>
      </w:pPr>
      <w:r w:rsidRPr="009246CA">
        <w:rPr>
          <w:rFonts w:ascii="仿宋_GB2312" w:hint="eastAsia"/>
          <w:b/>
          <w:bCs/>
          <w:szCs w:val="32"/>
        </w:rPr>
        <w:t>第三十六条</w:t>
      </w:r>
      <w:r w:rsidRPr="009246CA">
        <w:rPr>
          <w:rFonts w:ascii="仿宋_GB2312" w:hint="eastAsia"/>
          <w:bCs/>
          <w:szCs w:val="32"/>
        </w:rPr>
        <w:t xml:space="preserve"> 收费标准</w:t>
      </w:r>
    </w:p>
    <w:p w:rsidR="00986073" w:rsidRPr="009246CA"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标准债券远期实物交割合约的交易和清算的收费标准参照现金交割合约的收费标准执行；</w:t>
      </w:r>
      <w:r w:rsidRPr="009246CA">
        <w:rPr>
          <w:rFonts w:ascii="仿宋_GB2312"/>
          <w:bCs/>
          <w:szCs w:val="32"/>
        </w:rPr>
        <w:t>实物交割相关</w:t>
      </w:r>
      <w:r w:rsidRPr="009246CA">
        <w:rPr>
          <w:rFonts w:ascii="仿宋_GB2312" w:hint="eastAsia"/>
          <w:bCs/>
          <w:szCs w:val="32"/>
        </w:rPr>
        <w:t>收费标准将</w:t>
      </w:r>
      <w:r w:rsidRPr="009246CA">
        <w:rPr>
          <w:rFonts w:ascii="仿宋_GB2312"/>
          <w:bCs/>
          <w:szCs w:val="32"/>
        </w:rPr>
        <w:t>另行公布</w:t>
      </w:r>
      <w:r w:rsidRPr="009246CA">
        <w:rPr>
          <w:rFonts w:ascii="仿宋_GB2312" w:hint="eastAsia"/>
          <w:bCs/>
          <w:szCs w:val="32"/>
        </w:rPr>
        <w:t>。</w:t>
      </w:r>
    </w:p>
    <w:p w:rsidR="00986073" w:rsidRPr="009246CA" w:rsidRDefault="00986073" w:rsidP="00986073">
      <w:pPr>
        <w:adjustRightInd w:val="0"/>
        <w:snapToGrid w:val="0"/>
        <w:spacing w:line="560" w:lineRule="exact"/>
        <w:ind w:firstLineChars="200" w:firstLine="643"/>
        <w:rPr>
          <w:rFonts w:ascii="仿宋_GB2312"/>
          <w:bCs/>
          <w:szCs w:val="32"/>
        </w:rPr>
      </w:pPr>
      <w:r w:rsidRPr="009246CA">
        <w:rPr>
          <w:rFonts w:ascii="仿宋_GB2312" w:hint="eastAsia"/>
          <w:b/>
          <w:bCs/>
          <w:szCs w:val="32"/>
        </w:rPr>
        <w:t>第三十七条</w:t>
      </w:r>
      <w:r w:rsidRPr="009246CA">
        <w:rPr>
          <w:rFonts w:ascii="仿宋_GB2312" w:hint="eastAsia"/>
          <w:bCs/>
          <w:szCs w:val="32"/>
        </w:rPr>
        <w:t xml:space="preserve"> 合约可交割债券不足处理</w:t>
      </w:r>
    </w:p>
    <w:p w:rsidR="00986073" w:rsidRPr="009246CA"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当可交割债券只数少于2只或可交割债券可交割量大幅减少时，交易中心和上海清算所将停止对应标准债券远期品种新增上市合约；对于存续中的合约可视情况采取限仓、提高保证金、暂停交易等措施进行处置。</w:t>
      </w:r>
    </w:p>
    <w:p w:rsidR="00986073" w:rsidRPr="009246CA" w:rsidRDefault="00986073" w:rsidP="00986073">
      <w:pPr>
        <w:adjustRightInd w:val="0"/>
        <w:snapToGrid w:val="0"/>
        <w:spacing w:line="560" w:lineRule="exact"/>
        <w:ind w:firstLineChars="200" w:firstLine="643"/>
        <w:rPr>
          <w:rFonts w:ascii="仿宋_GB2312"/>
          <w:bCs/>
          <w:szCs w:val="32"/>
        </w:rPr>
      </w:pPr>
      <w:r w:rsidRPr="009246CA">
        <w:rPr>
          <w:rFonts w:ascii="仿宋_GB2312" w:hint="eastAsia"/>
          <w:b/>
          <w:bCs/>
          <w:szCs w:val="32"/>
        </w:rPr>
        <w:t>第三十八条</w:t>
      </w:r>
      <w:r w:rsidRPr="009246CA">
        <w:rPr>
          <w:rFonts w:ascii="仿宋_GB2312"/>
          <w:bCs/>
          <w:szCs w:val="32"/>
        </w:rPr>
        <w:t xml:space="preserve"> </w:t>
      </w:r>
      <w:r w:rsidRPr="009246CA">
        <w:rPr>
          <w:rFonts w:ascii="仿宋_GB2312" w:hint="eastAsia"/>
          <w:bCs/>
          <w:szCs w:val="32"/>
        </w:rPr>
        <w:t>其他</w:t>
      </w:r>
    </w:p>
    <w:p w:rsidR="00986073" w:rsidRDefault="00986073" w:rsidP="00986073">
      <w:pPr>
        <w:adjustRightInd w:val="0"/>
        <w:snapToGrid w:val="0"/>
        <w:spacing w:line="560" w:lineRule="exact"/>
        <w:ind w:firstLineChars="200" w:firstLine="640"/>
        <w:rPr>
          <w:rFonts w:ascii="仿宋_GB2312"/>
          <w:bCs/>
          <w:szCs w:val="32"/>
        </w:rPr>
      </w:pPr>
      <w:r w:rsidRPr="009246CA">
        <w:rPr>
          <w:rFonts w:ascii="仿宋_GB2312" w:hint="eastAsia"/>
          <w:bCs/>
          <w:szCs w:val="32"/>
        </w:rPr>
        <w:t>本指引由交易中心和上海清算所负责解释和修订，自发布之日起施行。</w:t>
      </w:r>
    </w:p>
    <w:p w:rsidR="00B560CA" w:rsidRDefault="00B560CA" w:rsidP="00986073">
      <w:pPr>
        <w:adjustRightInd w:val="0"/>
        <w:snapToGrid w:val="0"/>
        <w:spacing w:line="560" w:lineRule="exact"/>
        <w:ind w:firstLineChars="200" w:firstLine="640"/>
        <w:rPr>
          <w:rFonts w:ascii="仿宋_GB2312"/>
          <w:bCs/>
          <w:szCs w:val="32"/>
        </w:rPr>
      </w:pPr>
    </w:p>
    <w:p w:rsidR="00B560CA" w:rsidRPr="009246CA" w:rsidRDefault="00B560CA" w:rsidP="00986073">
      <w:pPr>
        <w:adjustRightInd w:val="0"/>
        <w:snapToGrid w:val="0"/>
        <w:spacing w:line="560" w:lineRule="exact"/>
        <w:ind w:firstLineChars="200" w:firstLine="640"/>
        <w:rPr>
          <w:rFonts w:ascii="仿宋" w:eastAsia="仿宋" w:hAnsi="仿宋" w:hint="eastAsia"/>
          <w:szCs w:val="32"/>
        </w:rPr>
      </w:pPr>
    </w:p>
    <w:p w:rsidR="00986073" w:rsidRDefault="00986073" w:rsidP="00986073">
      <w:pPr>
        <w:spacing w:line="560" w:lineRule="exact"/>
        <w:rPr>
          <w:rFonts w:ascii="黑体" w:eastAsia="黑体" w:hAnsi="黑体"/>
          <w:bCs/>
        </w:rPr>
      </w:pPr>
      <w:r w:rsidRPr="001A3ACC">
        <w:rPr>
          <w:rFonts w:ascii="黑体" w:eastAsia="黑体" w:hAnsi="黑体" w:hint="eastAsia"/>
          <w:bCs/>
        </w:rPr>
        <w:t>附1：转换因子计算方式</w:t>
      </w:r>
    </w:p>
    <w:p w:rsidR="00986073" w:rsidRPr="001A3ACC" w:rsidRDefault="00986073" w:rsidP="00986073">
      <w:pPr>
        <w:spacing w:line="560" w:lineRule="exact"/>
        <w:rPr>
          <w:rFonts w:ascii="黑体" w:eastAsia="黑体" w:hAnsi="黑体" w:hint="eastAsia"/>
          <w:bCs/>
        </w:rPr>
      </w:pPr>
    </w:p>
    <w:p w:rsidR="00986073" w:rsidRPr="009246CA" w:rsidRDefault="00986073" w:rsidP="00986073">
      <w:pPr>
        <w:spacing w:line="560" w:lineRule="exact"/>
        <w:ind w:firstLineChars="200" w:firstLine="640"/>
        <w:jc w:val="left"/>
        <w:rPr>
          <w:rFonts w:ascii="仿宋_GB2312"/>
          <w:szCs w:val="32"/>
        </w:rPr>
      </w:pPr>
      <w:r w:rsidRPr="009246CA">
        <w:rPr>
          <w:rFonts w:ascii="仿宋_GB2312" w:hint="eastAsia"/>
          <w:szCs w:val="32"/>
        </w:rPr>
        <w:lastRenderedPageBreak/>
        <w:t>以合约对应虚拟债券的票面利率作为到期收益率，计算出的单位面值可交割债券的到期交割月首日的净价。计算公式为：</w:t>
      </w:r>
    </w:p>
    <w:p w:rsidR="00986073" w:rsidRPr="00986073" w:rsidRDefault="00986073" w:rsidP="00986073">
      <w:pPr>
        <w:spacing w:line="360" w:lineRule="auto"/>
        <w:ind w:firstLineChars="200" w:firstLine="440"/>
        <w:jc w:val="left"/>
        <w:rPr>
          <w:rFonts w:ascii="仿宋_GB2312"/>
          <w:sz w:val="22"/>
          <w:szCs w:val="16"/>
        </w:rPr>
      </w:pPr>
      <m:oMathPara>
        <m:oMath>
          <m:r>
            <m:rPr>
              <m:sty m:val="p"/>
            </m:rPr>
            <w:rPr>
              <w:rFonts w:ascii="Cambria Math" w:hAnsi="Cambria Math"/>
              <w:sz w:val="22"/>
              <w:szCs w:val="16"/>
            </w:rPr>
            <m:t>CF=</m:t>
          </m:r>
          <m:d>
            <m:dPr>
              <m:begChr m:val="{"/>
              <m:endChr m:val="}"/>
              <m:ctrlPr>
                <w:rPr>
                  <w:rFonts w:ascii="Cambria Math" w:hAnsi="Cambria Math"/>
                  <w:sz w:val="22"/>
                  <w:szCs w:val="16"/>
                </w:rPr>
              </m:ctrlPr>
            </m:dPr>
            <m:e>
              <m:f>
                <m:fPr>
                  <m:ctrlPr>
                    <w:rPr>
                      <w:rFonts w:ascii="Cambria Math" w:hAnsi="Cambria Math"/>
                      <w:sz w:val="22"/>
                      <w:szCs w:val="16"/>
                    </w:rPr>
                  </m:ctrlPr>
                </m:fPr>
                <m:num>
                  <m:r>
                    <m:rPr>
                      <m:sty m:val="p"/>
                    </m:rPr>
                    <w:rPr>
                      <w:rFonts w:ascii="Cambria Math" w:hAnsi="Cambria Math"/>
                      <w:sz w:val="22"/>
                      <w:szCs w:val="16"/>
                    </w:rPr>
                    <m:t>1</m:t>
                  </m:r>
                </m:num>
                <m:den>
                  <m:sSup>
                    <m:sSupPr>
                      <m:ctrlPr>
                        <w:rPr>
                          <w:rFonts w:ascii="Cambria Math" w:hAnsi="Cambria Math"/>
                          <w:sz w:val="22"/>
                          <w:szCs w:val="16"/>
                        </w:rPr>
                      </m:ctrlPr>
                    </m:sSupPr>
                    <m:e>
                      <m:d>
                        <m:dPr>
                          <m:ctrlPr>
                            <w:rPr>
                              <w:rFonts w:ascii="Cambria Math" w:hAnsi="Cambria Math"/>
                              <w:sz w:val="22"/>
                              <w:szCs w:val="16"/>
                            </w:rPr>
                          </m:ctrlPr>
                        </m:dPr>
                        <m:e>
                          <m:r>
                            <m:rPr>
                              <m:sty m:val="p"/>
                            </m:rPr>
                            <w:rPr>
                              <w:rFonts w:ascii="Cambria Math" w:hAnsi="Cambria Math"/>
                              <w:sz w:val="22"/>
                              <w:szCs w:val="16"/>
                            </w:rPr>
                            <m:t>1+</m:t>
                          </m:r>
                          <m:f>
                            <m:fPr>
                              <m:type m:val="skw"/>
                              <m:ctrlPr>
                                <w:rPr>
                                  <w:rFonts w:ascii="Cambria Math" w:hAnsi="Cambria Math"/>
                                  <w:sz w:val="22"/>
                                  <w:szCs w:val="16"/>
                                </w:rPr>
                              </m:ctrlPr>
                            </m:fPr>
                            <m:num>
                              <m:r>
                                <m:rPr>
                                  <m:sty m:val="p"/>
                                </m:rPr>
                                <w:rPr>
                                  <w:rFonts w:ascii="Cambria Math" w:hAnsi="Cambria Math"/>
                                  <w:sz w:val="22"/>
                                  <w:szCs w:val="16"/>
                                </w:rPr>
                                <m:t>y</m:t>
                              </m:r>
                            </m:num>
                            <m:den>
                              <m:r>
                                <m:rPr>
                                  <m:sty m:val="p"/>
                                </m:rPr>
                                <w:rPr>
                                  <w:rFonts w:ascii="Cambria Math" w:hAnsi="Cambria Math"/>
                                  <w:sz w:val="22"/>
                                  <w:szCs w:val="16"/>
                                </w:rPr>
                                <m:t>f</m:t>
                              </m:r>
                            </m:den>
                          </m:f>
                        </m:e>
                      </m:d>
                    </m:e>
                    <m:sup>
                      <m:f>
                        <m:fPr>
                          <m:ctrlPr>
                            <w:rPr>
                              <w:rFonts w:ascii="Cambria Math" w:hAnsi="Cambria Math"/>
                              <w:sz w:val="22"/>
                              <w:szCs w:val="16"/>
                            </w:rPr>
                          </m:ctrlPr>
                        </m:fPr>
                        <m:num>
                          <m:r>
                            <m:rPr>
                              <m:sty m:val="p"/>
                            </m:rPr>
                            <w:rPr>
                              <w:rFonts w:ascii="Cambria Math" w:hAnsi="Cambria Math"/>
                              <w:sz w:val="22"/>
                              <w:szCs w:val="16"/>
                            </w:rPr>
                            <m:t>xf</m:t>
                          </m:r>
                        </m:num>
                        <m:den>
                          <m:r>
                            <m:rPr>
                              <m:sty m:val="p"/>
                            </m:rPr>
                            <w:rPr>
                              <w:rFonts w:ascii="Cambria Math" w:hAnsi="Cambria Math"/>
                              <w:sz w:val="22"/>
                              <w:szCs w:val="16"/>
                            </w:rPr>
                            <m:t>12</m:t>
                          </m:r>
                        </m:den>
                      </m:f>
                    </m:sup>
                  </m:sSup>
                </m:den>
              </m:f>
              <m:r>
                <m:rPr>
                  <m:sty m:val="p"/>
                </m:rPr>
                <w:rPr>
                  <w:rFonts w:ascii="Cambria Math" w:hAnsi="Cambria Math"/>
                  <w:sz w:val="22"/>
                  <w:szCs w:val="16"/>
                </w:rPr>
                <m:t>*</m:t>
              </m:r>
              <m:d>
                <m:dPr>
                  <m:begChr m:val="["/>
                  <m:endChr m:val="]"/>
                  <m:ctrlPr>
                    <w:rPr>
                      <w:rFonts w:ascii="Cambria Math" w:hAnsi="Cambria Math"/>
                      <w:sz w:val="22"/>
                      <w:szCs w:val="16"/>
                    </w:rPr>
                  </m:ctrlPr>
                </m:dPr>
                <m:e>
                  <m:f>
                    <m:fPr>
                      <m:ctrlPr>
                        <w:rPr>
                          <w:rFonts w:ascii="Cambria Math" w:hAnsi="Cambria Math"/>
                          <w:sz w:val="22"/>
                          <w:szCs w:val="16"/>
                        </w:rPr>
                      </m:ctrlPr>
                    </m:fPr>
                    <m:num>
                      <m:r>
                        <w:rPr>
                          <w:rFonts w:ascii="Cambria Math" w:hAnsi="Cambria Math"/>
                          <w:sz w:val="22"/>
                          <w:szCs w:val="16"/>
                        </w:rPr>
                        <m:t>c</m:t>
                      </m:r>
                    </m:num>
                    <m:den>
                      <m:r>
                        <w:rPr>
                          <w:rFonts w:ascii="Cambria Math" w:hAnsi="Cambria Math"/>
                          <w:sz w:val="22"/>
                          <w:szCs w:val="16"/>
                        </w:rPr>
                        <m:t>f</m:t>
                      </m:r>
                    </m:den>
                  </m:f>
                  <m:r>
                    <m:rPr>
                      <m:sty m:val="p"/>
                    </m:rPr>
                    <w:rPr>
                      <w:rFonts w:ascii="Cambria Math" w:hAnsi="Cambria Math"/>
                      <w:sz w:val="22"/>
                      <w:szCs w:val="16"/>
                    </w:rPr>
                    <m:t>+</m:t>
                  </m:r>
                  <m:f>
                    <m:fPr>
                      <m:ctrlPr>
                        <w:rPr>
                          <w:rFonts w:ascii="Cambria Math" w:hAnsi="Cambria Math"/>
                          <w:sz w:val="22"/>
                          <w:szCs w:val="16"/>
                        </w:rPr>
                      </m:ctrlPr>
                    </m:fPr>
                    <m:num>
                      <m:r>
                        <w:rPr>
                          <w:rFonts w:ascii="Cambria Math" w:hAnsi="Cambria Math"/>
                          <w:sz w:val="22"/>
                          <w:szCs w:val="16"/>
                        </w:rPr>
                        <m:t>c</m:t>
                      </m:r>
                    </m:num>
                    <m:den>
                      <m:r>
                        <w:rPr>
                          <w:rFonts w:ascii="Cambria Math" w:hAnsi="Cambria Math"/>
                          <w:sz w:val="22"/>
                          <w:szCs w:val="16"/>
                        </w:rPr>
                        <m:t>y</m:t>
                      </m:r>
                    </m:den>
                  </m:f>
                  <m:r>
                    <m:rPr>
                      <m:sty m:val="p"/>
                    </m:rPr>
                    <w:rPr>
                      <w:rFonts w:ascii="Cambria Math" w:hAnsi="Cambria Math"/>
                      <w:sz w:val="22"/>
                      <w:szCs w:val="16"/>
                    </w:rPr>
                    <m:t>*</m:t>
                  </m:r>
                  <m:d>
                    <m:dPr>
                      <m:ctrlPr>
                        <w:rPr>
                          <w:rFonts w:ascii="Cambria Math" w:hAnsi="Cambria Math"/>
                          <w:sz w:val="22"/>
                          <w:szCs w:val="16"/>
                        </w:rPr>
                      </m:ctrlPr>
                    </m:dPr>
                    <m:e>
                      <m:r>
                        <m:rPr>
                          <m:sty m:val="p"/>
                        </m:rPr>
                        <w:rPr>
                          <w:rFonts w:ascii="Cambria Math" w:hAnsi="Cambria Math"/>
                          <w:sz w:val="22"/>
                          <w:szCs w:val="16"/>
                        </w:rPr>
                        <m:t>1-</m:t>
                      </m:r>
                      <m:f>
                        <m:fPr>
                          <m:ctrlPr>
                            <w:rPr>
                              <w:rFonts w:ascii="Cambria Math" w:hAnsi="Cambria Math"/>
                              <w:sz w:val="22"/>
                              <w:szCs w:val="16"/>
                            </w:rPr>
                          </m:ctrlPr>
                        </m:fPr>
                        <m:num>
                          <m:r>
                            <m:rPr>
                              <m:sty m:val="p"/>
                            </m:rPr>
                            <w:rPr>
                              <w:rFonts w:ascii="Cambria Math" w:hAnsi="Cambria Math"/>
                              <w:sz w:val="22"/>
                              <w:szCs w:val="16"/>
                            </w:rPr>
                            <m:t>1</m:t>
                          </m:r>
                        </m:num>
                        <m:den>
                          <m:sSup>
                            <m:sSupPr>
                              <m:ctrlPr>
                                <w:rPr>
                                  <w:rFonts w:ascii="Cambria Math" w:hAnsi="Cambria Math"/>
                                  <w:sz w:val="22"/>
                                  <w:szCs w:val="16"/>
                                </w:rPr>
                              </m:ctrlPr>
                            </m:sSupPr>
                            <m:e>
                              <m:d>
                                <m:dPr>
                                  <m:ctrlPr>
                                    <w:rPr>
                                      <w:rFonts w:ascii="Cambria Math" w:hAnsi="Cambria Math"/>
                                      <w:sz w:val="22"/>
                                      <w:szCs w:val="16"/>
                                    </w:rPr>
                                  </m:ctrlPr>
                                </m:dPr>
                                <m:e>
                                  <m:r>
                                    <m:rPr>
                                      <m:sty m:val="p"/>
                                    </m:rPr>
                                    <w:rPr>
                                      <w:rFonts w:ascii="Cambria Math" w:hAnsi="Cambria Math"/>
                                      <w:sz w:val="22"/>
                                      <w:szCs w:val="16"/>
                                    </w:rPr>
                                    <m:t>1+</m:t>
                                  </m:r>
                                  <m:f>
                                    <m:fPr>
                                      <m:type m:val="skw"/>
                                      <m:ctrlPr>
                                        <w:rPr>
                                          <w:rFonts w:ascii="Cambria Math" w:hAnsi="Cambria Math"/>
                                          <w:sz w:val="22"/>
                                          <w:szCs w:val="16"/>
                                        </w:rPr>
                                      </m:ctrlPr>
                                    </m:fPr>
                                    <m:num>
                                      <m:r>
                                        <w:rPr>
                                          <w:rFonts w:ascii="Cambria Math" w:hAnsi="Cambria Math"/>
                                          <w:sz w:val="22"/>
                                          <w:szCs w:val="16"/>
                                        </w:rPr>
                                        <m:t>y</m:t>
                                      </m:r>
                                    </m:num>
                                    <m:den>
                                      <m:r>
                                        <w:rPr>
                                          <w:rFonts w:ascii="Cambria Math" w:hAnsi="Cambria Math"/>
                                          <w:sz w:val="22"/>
                                          <w:szCs w:val="16"/>
                                        </w:rPr>
                                        <m:t>f</m:t>
                                      </m:r>
                                    </m:den>
                                  </m:f>
                                </m:e>
                              </m:d>
                            </m:e>
                            <m:sup>
                              <m:r>
                                <w:rPr>
                                  <w:rFonts w:ascii="Cambria Math" w:hAnsi="Cambria Math"/>
                                  <w:sz w:val="22"/>
                                  <w:szCs w:val="16"/>
                                </w:rPr>
                                <m:t>k</m:t>
                              </m:r>
                              <m:r>
                                <m:rPr>
                                  <m:sty m:val="p"/>
                                </m:rPr>
                                <w:rPr>
                                  <w:rFonts w:ascii="Cambria Math" w:hAnsi="Cambria Math"/>
                                  <w:sz w:val="22"/>
                                  <w:szCs w:val="16"/>
                                </w:rPr>
                                <m:t>-1</m:t>
                              </m:r>
                            </m:sup>
                          </m:sSup>
                        </m:den>
                      </m:f>
                    </m:e>
                  </m:d>
                  <m:r>
                    <m:rPr>
                      <m:sty m:val="p"/>
                    </m:rPr>
                    <w:rPr>
                      <w:rFonts w:ascii="Cambria Math" w:hAnsi="Cambria Math"/>
                      <w:sz w:val="22"/>
                      <w:szCs w:val="16"/>
                    </w:rPr>
                    <m:t>+</m:t>
                  </m:r>
                  <m:f>
                    <m:fPr>
                      <m:ctrlPr>
                        <w:rPr>
                          <w:rFonts w:ascii="Cambria Math" w:hAnsi="Cambria Math"/>
                          <w:sz w:val="22"/>
                          <w:szCs w:val="16"/>
                        </w:rPr>
                      </m:ctrlPr>
                    </m:fPr>
                    <m:num>
                      <m:r>
                        <m:rPr>
                          <m:sty m:val="p"/>
                        </m:rPr>
                        <w:rPr>
                          <w:rFonts w:ascii="Cambria Math" w:hAnsi="Cambria Math"/>
                          <w:sz w:val="22"/>
                          <w:szCs w:val="16"/>
                        </w:rPr>
                        <m:t>1</m:t>
                      </m:r>
                    </m:num>
                    <m:den>
                      <m:sSup>
                        <m:sSupPr>
                          <m:ctrlPr>
                            <w:rPr>
                              <w:rFonts w:ascii="Cambria Math" w:hAnsi="Cambria Math"/>
                              <w:sz w:val="22"/>
                              <w:szCs w:val="16"/>
                            </w:rPr>
                          </m:ctrlPr>
                        </m:sSupPr>
                        <m:e>
                          <m:d>
                            <m:dPr>
                              <m:ctrlPr>
                                <w:rPr>
                                  <w:rFonts w:ascii="Cambria Math" w:hAnsi="Cambria Math"/>
                                  <w:sz w:val="22"/>
                                  <w:szCs w:val="16"/>
                                </w:rPr>
                              </m:ctrlPr>
                            </m:dPr>
                            <m:e>
                              <m:r>
                                <m:rPr>
                                  <m:sty m:val="p"/>
                                </m:rPr>
                                <w:rPr>
                                  <w:rFonts w:ascii="Cambria Math" w:hAnsi="Cambria Math"/>
                                  <w:sz w:val="22"/>
                                  <w:szCs w:val="16"/>
                                </w:rPr>
                                <m:t>1+</m:t>
                              </m:r>
                              <m:f>
                                <m:fPr>
                                  <m:type m:val="skw"/>
                                  <m:ctrlPr>
                                    <w:rPr>
                                      <w:rFonts w:ascii="Cambria Math" w:hAnsi="Cambria Math"/>
                                      <w:sz w:val="22"/>
                                      <w:szCs w:val="16"/>
                                    </w:rPr>
                                  </m:ctrlPr>
                                </m:fPr>
                                <m:num>
                                  <m:r>
                                    <w:rPr>
                                      <w:rFonts w:ascii="Cambria Math" w:hAnsi="Cambria Math"/>
                                      <w:sz w:val="22"/>
                                      <w:szCs w:val="16"/>
                                    </w:rPr>
                                    <m:t>y</m:t>
                                  </m:r>
                                </m:num>
                                <m:den>
                                  <m:r>
                                    <w:rPr>
                                      <w:rFonts w:ascii="Cambria Math" w:hAnsi="Cambria Math"/>
                                      <w:sz w:val="22"/>
                                      <w:szCs w:val="16"/>
                                    </w:rPr>
                                    <m:t>f</m:t>
                                  </m:r>
                                </m:den>
                              </m:f>
                            </m:e>
                          </m:d>
                        </m:e>
                        <m:sup>
                          <m:r>
                            <w:rPr>
                              <w:rFonts w:ascii="Cambria Math" w:hAnsi="Cambria Math"/>
                              <w:sz w:val="22"/>
                              <w:szCs w:val="16"/>
                            </w:rPr>
                            <m:t>k</m:t>
                          </m:r>
                          <m:r>
                            <m:rPr>
                              <m:sty m:val="p"/>
                            </m:rPr>
                            <w:rPr>
                              <w:rFonts w:ascii="Cambria Math" w:hAnsi="Cambria Math"/>
                              <w:sz w:val="22"/>
                              <w:szCs w:val="16"/>
                            </w:rPr>
                            <m:t>-1</m:t>
                          </m:r>
                        </m:sup>
                      </m:sSup>
                    </m:den>
                  </m:f>
                </m:e>
              </m:d>
              <m:r>
                <m:rPr>
                  <m:sty m:val="p"/>
                </m:rPr>
                <w:rPr>
                  <w:rFonts w:ascii="Cambria Math" w:hAnsi="Cambria Math"/>
                  <w:sz w:val="22"/>
                  <w:szCs w:val="16"/>
                </w:rPr>
                <m:t>-</m:t>
              </m:r>
              <m:f>
                <m:fPr>
                  <m:ctrlPr>
                    <w:rPr>
                      <w:rFonts w:ascii="Cambria Math" w:hAnsi="Cambria Math"/>
                      <w:sz w:val="22"/>
                      <w:szCs w:val="16"/>
                    </w:rPr>
                  </m:ctrlPr>
                </m:fPr>
                <m:num>
                  <m:r>
                    <m:rPr>
                      <m:sty m:val="p"/>
                    </m:rPr>
                    <w:rPr>
                      <w:rFonts w:ascii="Cambria Math" w:hAnsi="Cambria Math"/>
                      <w:sz w:val="22"/>
                      <w:szCs w:val="16"/>
                    </w:rPr>
                    <m:t>c</m:t>
                  </m:r>
                </m:num>
                <m:den>
                  <m:r>
                    <m:rPr>
                      <m:sty m:val="p"/>
                    </m:rPr>
                    <w:rPr>
                      <w:rFonts w:ascii="Cambria Math" w:hAnsi="Cambria Math"/>
                      <w:sz w:val="22"/>
                      <w:szCs w:val="16"/>
                    </w:rPr>
                    <m:t>f</m:t>
                  </m:r>
                </m:den>
              </m:f>
              <m:r>
                <m:rPr>
                  <m:sty m:val="p"/>
                </m:rPr>
                <w:rPr>
                  <w:rFonts w:ascii="Cambria Math" w:hAnsi="Cambria Math"/>
                  <w:sz w:val="22"/>
                  <w:szCs w:val="16"/>
                </w:rPr>
                <m:t>*</m:t>
              </m:r>
              <m:d>
                <m:dPr>
                  <m:ctrlPr>
                    <w:rPr>
                      <w:rFonts w:ascii="Cambria Math" w:hAnsi="Cambria Math"/>
                      <w:sz w:val="22"/>
                      <w:szCs w:val="16"/>
                    </w:rPr>
                  </m:ctrlPr>
                </m:dPr>
                <m:e>
                  <m:r>
                    <m:rPr>
                      <m:sty m:val="p"/>
                    </m:rPr>
                    <w:rPr>
                      <w:rFonts w:ascii="Cambria Math" w:hAnsi="Cambria Math"/>
                      <w:sz w:val="22"/>
                      <w:szCs w:val="16"/>
                    </w:rPr>
                    <m:t>1-</m:t>
                  </m:r>
                  <m:f>
                    <m:fPr>
                      <m:ctrlPr>
                        <w:rPr>
                          <w:rFonts w:ascii="Cambria Math" w:hAnsi="Cambria Math"/>
                          <w:sz w:val="22"/>
                          <w:szCs w:val="16"/>
                        </w:rPr>
                      </m:ctrlPr>
                    </m:fPr>
                    <m:num>
                      <m:r>
                        <m:rPr>
                          <m:sty m:val="p"/>
                        </m:rPr>
                        <w:rPr>
                          <w:rFonts w:ascii="Cambria Math" w:hAnsi="Cambria Math"/>
                          <w:sz w:val="22"/>
                          <w:szCs w:val="16"/>
                        </w:rPr>
                        <m:t>xf</m:t>
                      </m:r>
                    </m:num>
                    <m:den>
                      <m:r>
                        <m:rPr>
                          <m:sty m:val="p"/>
                        </m:rPr>
                        <w:rPr>
                          <w:rFonts w:ascii="Cambria Math" w:hAnsi="Cambria Math"/>
                          <w:sz w:val="22"/>
                          <w:szCs w:val="16"/>
                        </w:rPr>
                        <m:t>12</m:t>
                      </m:r>
                    </m:den>
                  </m:f>
                </m:e>
              </m:d>
            </m:e>
          </m:d>
        </m:oMath>
      </m:oMathPara>
    </w:p>
    <w:p w:rsidR="00986073" w:rsidRPr="009246CA" w:rsidRDefault="00986073" w:rsidP="00986073">
      <w:pPr>
        <w:spacing w:line="560" w:lineRule="exact"/>
        <w:ind w:firstLineChars="200" w:firstLine="640"/>
        <w:jc w:val="left"/>
        <w:rPr>
          <w:rFonts w:ascii="仿宋_GB2312"/>
          <w:szCs w:val="32"/>
        </w:rPr>
      </w:pPr>
      <w:r w:rsidRPr="009246CA">
        <w:rPr>
          <w:rFonts w:ascii="仿宋_GB2312" w:hint="eastAsia"/>
          <w:szCs w:val="32"/>
        </w:rPr>
        <w:t>其中：</w:t>
      </w:r>
    </w:p>
    <w:p w:rsidR="00986073" w:rsidRPr="009246CA" w:rsidRDefault="00986073" w:rsidP="00986073">
      <w:pPr>
        <w:spacing w:line="560" w:lineRule="exact"/>
        <w:ind w:firstLineChars="200" w:firstLine="480"/>
        <w:jc w:val="left"/>
        <w:rPr>
          <w:rFonts w:ascii="仿宋_GB2312"/>
          <w:sz w:val="24"/>
          <w:szCs w:val="24"/>
        </w:rPr>
      </w:pPr>
      <w:r w:rsidRPr="009246CA">
        <w:rPr>
          <w:rFonts w:ascii="仿宋_GB2312"/>
          <w:sz w:val="24"/>
          <w:szCs w:val="24"/>
        </w:rPr>
        <w:t>c</w:t>
      </w:r>
      <w:r w:rsidRPr="009246CA">
        <w:rPr>
          <w:rFonts w:ascii="仿宋_GB2312" w:hint="eastAsia"/>
          <w:sz w:val="24"/>
          <w:szCs w:val="24"/>
        </w:rPr>
        <w:t>：可交割债券票面利率</w:t>
      </w:r>
    </w:p>
    <w:p w:rsidR="00986073" w:rsidRPr="009246CA" w:rsidRDefault="00986073" w:rsidP="00986073">
      <w:pPr>
        <w:spacing w:line="560" w:lineRule="exact"/>
        <w:ind w:firstLineChars="200" w:firstLine="480"/>
        <w:jc w:val="left"/>
        <w:rPr>
          <w:rFonts w:ascii="仿宋_GB2312"/>
          <w:sz w:val="24"/>
          <w:szCs w:val="24"/>
        </w:rPr>
      </w:pPr>
      <w:r w:rsidRPr="009246CA">
        <w:rPr>
          <w:rFonts w:ascii="仿宋_GB2312" w:hint="eastAsia"/>
          <w:sz w:val="24"/>
          <w:szCs w:val="24"/>
        </w:rPr>
        <w:t>f：可交割债券付息频率</w:t>
      </w:r>
    </w:p>
    <w:p w:rsidR="00986073" w:rsidRPr="009246CA" w:rsidRDefault="00986073" w:rsidP="00986073">
      <w:pPr>
        <w:spacing w:line="560" w:lineRule="exact"/>
        <w:ind w:firstLineChars="200" w:firstLine="480"/>
        <w:jc w:val="left"/>
        <w:rPr>
          <w:rFonts w:ascii="仿宋_GB2312"/>
          <w:sz w:val="24"/>
          <w:szCs w:val="24"/>
        </w:rPr>
      </w:pPr>
      <w:r w:rsidRPr="009246CA">
        <w:rPr>
          <w:rFonts w:ascii="仿宋_GB2312" w:hint="eastAsia"/>
          <w:sz w:val="24"/>
          <w:szCs w:val="24"/>
        </w:rPr>
        <w:t>y：标的券票面利率</w:t>
      </w:r>
    </w:p>
    <w:p w:rsidR="00986073" w:rsidRPr="009246CA" w:rsidRDefault="00986073" w:rsidP="00986073">
      <w:pPr>
        <w:spacing w:line="560" w:lineRule="exact"/>
        <w:ind w:firstLineChars="200" w:firstLine="480"/>
        <w:jc w:val="left"/>
        <w:rPr>
          <w:rFonts w:ascii="仿宋_GB2312"/>
          <w:sz w:val="24"/>
          <w:szCs w:val="24"/>
        </w:rPr>
      </w:pPr>
      <w:r w:rsidRPr="009246CA">
        <w:rPr>
          <w:rFonts w:ascii="仿宋_GB2312" w:hint="eastAsia"/>
          <w:sz w:val="24"/>
          <w:szCs w:val="24"/>
        </w:rPr>
        <w:t>x：到期交割月首日距可交割债券下一付息日的月份数</w:t>
      </w:r>
    </w:p>
    <w:p w:rsidR="00986073" w:rsidRPr="009246CA" w:rsidRDefault="00986073" w:rsidP="00986073">
      <w:pPr>
        <w:spacing w:line="560" w:lineRule="exact"/>
        <w:ind w:firstLineChars="200" w:firstLine="480"/>
        <w:jc w:val="left"/>
        <w:rPr>
          <w:rFonts w:ascii="仿宋_GB2312"/>
          <w:sz w:val="24"/>
          <w:szCs w:val="24"/>
        </w:rPr>
      </w:pPr>
      <w:r w:rsidRPr="009246CA">
        <w:rPr>
          <w:rFonts w:ascii="仿宋_GB2312" w:hint="eastAsia"/>
          <w:sz w:val="24"/>
          <w:szCs w:val="24"/>
        </w:rPr>
        <w:t>k：可交割债券剩余付息次数</w:t>
      </w:r>
    </w:p>
    <w:p w:rsidR="00986073" w:rsidRPr="009246CA" w:rsidRDefault="00986073" w:rsidP="00986073">
      <w:pPr>
        <w:spacing w:line="560" w:lineRule="exact"/>
        <w:rPr>
          <w:rFonts w:ascii="仿宋_GB2312"/>
          <w:b/>
        </w:rPr>
      </w:pPr>
    </w:p>
    <w:p w:rsidR="00986073" w:rsidRPr="009246CA" w:rsidRDefault="00986073" w:rsidP="00986073">
      <w:pPr>
        <w:spacing w:line="560" w:lineRule="exact"/>
        <w:rPr>
          <w:rFonts w:ascii="仿宋_GB2312"/>
          <w:b/>
        </w:rPr>
      </w:pPr>
    </w:p>
    <w:p w:rsidR="00986073" w:rsidRDefault="00986073" w:rsidP="00986073">
      <w:pPr>
        <w:spacing w:line="560" w:lineRule="exact"/>
        <w:rPr>
          <w:rFonts w:ascii="黑体" w:eastAsia="黑体" w:hAnsi="黑体"/>
          <w:bCs/>
        </w:rPr>
      </w:pPr>
      <w:r w:rsidRPr="001A3ACC">
        <w:rPr>
          <w:rFonts w:ascii="黑体" w:eastAsia="黑体" w:hAnsi="黑体" w:hint="eastAsia"/>
          <w:bCs/>
        </w:rPr>
        <w:t>附2：应计利息</w:t>
      </w:r>
    </w:p>
    <w:p w:rsidR="00986073" w:rsidRPr="001A3ACC" w:rsidRDefault="00986073" w:rsidP="00986073">
      <w:pPr>
        <w:spacing w:line="560" w:lineRule="exact"/>
        <w:rPr>
          <w:rFonts w:ascii="黑体" w:eastAsia="黑体" w:hAnsi="黑体" w:hint="eastAsia"/>
          <w:bCs/>
        </w:rPr>
      </w:pPr>
    </w:p>
    <w:p w:rsidR="00986073" w:rsidRPr="00986073" w:rsidRDefault="00986073" w:rsidP="00986073">
      <w:pPr>
        <w:spacing w:line="360" w:lineRule="auto"/>
        <w:ind w:firstLineChars="200" w:firstLine="560"/>
        <w:jc w:val="left"/>
        <w:rPr>
          <w:rFonts w:ascii="仿宋_GB2312" w:hint="eastAsia"/>
          <w:sz w:val="28"/>
          <w:szCs w:val="28"/>
        </w:rPr>
      </w:pPr>
      <m:oMathPara>
        <m:oMath>
          <m:r>
            <m:rPr>
              <m:sty m:val="p"/>
            </m:rPr>
            <w:rPr>
              <w:rFonts w:ascii="Cambria Math" w:hAnsi="Cambria Math" w:hint="eastAsia"/>
              <w:sz w:val="28"/>
              <w:szCs w:val="28"/>
            </w:rPr>
            <m:t>应计利息</m:t>
          </m:r>
          <m:r>
            <w:rPr>
              <w:rFonts w:ascii="Cambria Math" w:hAnsi="Cambria Math" w:hint="eastAsia"/>
              <w:sz w:val="28"/>
              <w:szCs w:val="28"/>
            </w:rPr>
            <m:t>=</m:t>
          </m:r>
          <m:f>
            <m:fPr>
              <m:ctrlPr>
                <w:rPr>
                  <w:rFonts w:ascii="Cambria Math" w:hAnsi="Cambria Math"/>
                  <w:sz w:val="28"/>
                  <w:szCs w:val="28"/>
                </w:rPr>
              </m:ctrlPr>
            </m:fPr>
            <m:num>
              <m:r>
                <m:rPr>
                  <m:sty m:val="p"/>
                </m:rPr>
                <w:rPr>
                  <w:rFonts w:ascii="Cambria Math" w:hAnsi="Cambria Math" w:hint="eastAsia"/>
                  <w:sz w:val="28"/>
                  <w:szCs w:val="28"/>
                </w:rPr>
                <m:t>可交割债券票面利率</m:t>
              </m:r>
              <m:r>
                <m:rPr>
                  <m:sty m:val="p"/>
                </m:rPr>
                <w:rPr>
                  <w:rFonts w:ascii="Cambria Math" w:hAnsi="Cambria Math"/>
                  <w:sz w:val="28"/>
                  <w:szCs w:val="28"/>
                </w:rPr>
                <m:t>*100</m:t>
              </m:r>
            </m:num>
            <m:den>
              <m:r>
                <m:rPr>
                  <m:sty m:val="p"/>
                </m:rPr>
                <w:rPr>
                  <w:rFonts w:ascii="Cambria Math" w:hAnsi="Cambria Math" w:hint="eastAsia"/>
                  <w:sz w:val="28"/>
                  <w:szCs w:val="28"/>
                </w:rPr>
                <m:t>每年付息次数</m:t>
              </m:r>
            </m:den>
          </m:f>
          <m:r>
            <m:rPr>
              <m:sty m:val="p"/>
            </m:rPr>
            <w:rPr>
              <w:rFonts w:ascii="Cambria Math" w:hAnsi="Cambria Math"/>
              <w:sz w:val="28"/>
              <w:szCs w:val="28"/>
            </w:rPr>
            <m:t>*</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hint="eastAsia"/>
                      <w:sz w:val="28"/>
                      <w:szCs w:val="28"/>
                    </w:rPr>
                    <m:t>交割日</m:t>
                  </m:r>
                  <m:r>
                    <m:rPr>
                      <m:sty m:val="p"/>
                    </m:rPr>
                    <w:rPr>
                      <w:rFonts w:ascii="Cambria Math" w:hAnsi="Cambria Math"/>
                      <w:sz w:val="28"/>
                      <w:szCs w:val="28"/>
                    </w:rPr>
                    <m:t>-</m:t>
                  </m:r>
                  <m:r>
                    <m:rPr>
                      <m:sty m:val="p"/>
                    </m:rPr>
                    <w:rPr>
                      <w:rFonts w:ascii="Cambria Math" w:hAnsi="Cambria Math" w:hint="eastAsia"/>
                      <w:sz w:val="28"/>
                      <w:szCs w:val="28"/>
                    </w:rPr>
                    <m:t>上一付息日</m:t>
                  </m:r>
                </m:num>
                <m:den>
                  <m:r>
                    <m:rPr>
                      <m:sty m:val="p"/>
                    </m:rPr>
                    <w:rPr>
                      <w:rFonts w:ascii="Cambria Math" w:hAnsi="Cambria Math" w:hint="eastAsia"/>
                      <w:sz w:val="28"/>
                      <w:szCs w:val="28"/>
                    </w:rPr>
                    <m:t>当前付息周期实际天数</m:t>
                  </m:r>
                </m:den>
              </m:f>
            </m:e>
          </m:d>
        </m:oMath>
      </m:oMathPara>
    </w:p>
    <w:p w:rsidR="00986073" w:rsidRPr="001A3ACC" w:rsidRDefault="00986073" w:rsidP="00986073">
      <w:pPr>
        <w:spacing w:line="560" w:lineRule="exact"/>
        <w:ind w:firstLineChars="200" w:firstLine="640"/>
        <w:jc w:val="left"/>
        <w:rPr>
          <w:rFonts w:ascii="仿宋_GB2312"/>
          <w:szCs w:val="32"/>
        </w:rPr>
      </w:pPr>
      <w:r w:rsidRPr="001A3ACC">
        <w:rPr>
          <w:rFonts w:ascii="仿宋_GB2312" w:hint="eastAsia"/>
          <w:szCs w:val="32"/>
        </w:rPr>
        <w:t>最后交易日前申报，交割日=申报日+</w:t>
      </w:r>
      <w:r w:rsidRPr="001A3ACC">
        <w:rPr>
          <w:rFonts w:ascii="仿宋_GB2312"/>
          <w:szCs w:val="32"/>
        </w:rPr>
        <w:t>1</w:t>
      </w:r>
    </w:p>
    <w:p w:rsidR="00986073" w:rsidRPr="001A3ACC" w:rsidRDefault="00986073" w:rsidP="00986073">
      <w:pPr>
        <w:spacing w:line="560" w:lineRule="exact"/>
        <w:rPr>
          <w:rFonts w:ascii="仿宋" w:eastAsia="仿宋" w:hAnsi="仿宋" w:hint="eastAsia"/>
          <w:szCs w:val="32"/>
        </w:rPr>
        <w:sectPr w:rsidR="00986073" w:rsidRPr="001A3ACC">
          <w:pgSz w:w="11906" w:h="16838"/>
          <w:pgMar w:top="1440" w:right="1800" w:bottom="1440" w:left="1800" w:header="851" w:footer="992" w:gutter="0"/>
          <w:cols w:space="425"/>
          <w:docGrid w:type="lines" w:linePitch="312"/>
        </w:sectPr>
      </w:pPr>
    </w:p>
    <w:p w:rsidR="00726C92" w:rsidRPr="00B560CA" w:rsidRDefault="00726C92">
      <w:pPr>
        <w:rPr>
          <w:rFonts w:hint="eastAsia"/>
        </w:rPr>
      </w:pPr>
    </w:p>
    <w:sectPr w:rsidR="00726C92" w:rsidRPr="00B560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0CA" w:rsidRDefault="00B560CA" w:rsidP="00B560CA">
      <w:r>
        <w:separator/>
      </w:r>
    </w:p>
  </w:endnote>
  <w:endnote w:type="continuationSeparator" w:id="0">
    <w:p w:rsidR="00B560CA" w:rsidRDefault="00B560CA" w:rsidP="00B5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0CA" w:rsidRDefault="00B560CA" w:rsidP="00B560CA">
      <w:r>
        <w:separator/>
      </w:r>
    </w:p>
  </w:footnote>
  <w:footnote w:type="continuationSeparator" w:id="0">
    <w:p w:rsidR="00B560CA" w:rsidRDefault="00B560CA" w:rsidP="00B56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073"/>
    <w:rsid w:val="00195499"/>
    <w:rsid w:val="0020307A"/>
    <w:rsid w:val="002A2489"/>
    <w:rsid w:val="003A6DDA"/>
    <w:rsid w:val="00544472"/>
    <w:rsid w:val="006D747B"/>
    <w:rsid w:val="00726C92"/>
    <w:rsid w:val="00986073"/>
    <w:rsid w:val="00B560CA"/>
    <w:rsid w:val="00E73A89"/>
    <w:rsid w:val="00F10D01"/>
    <w:rsid w:val="00F2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6CDE72-3295-463C-9204-14C9F52C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073"/>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60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60CA"/>
    <w:rPr>
      <w:rFonts w:ascii="Times New Roman" w:eastAsia="仿宋_GB2312" w:hAnsi="Times New Roman" w:cs="Times New Roman"/>
      <w:sz w:val="18"/>
      <w:szCs w:val="18"/>
    </w:rPr>
  </w:style>
  <w:style w:type="paragraph" w:styleId="a4">
    <w:name w:val="footer"/>
    <w:basedOn w:val="a"/>
    <w:link w:val="Char0"/>
    <w:uiPriority w:val="99"/>
    <w:unhideWhenUsed/>
    <w:rsid w:val="00B560CA"/>
    <w:pPr>
      <w:tabs>
        <w:tab w:val="center" w:pos="4153"/>
        <w:tab w:val="right" w:pos="8306"/>
      </w:tabs>
      <w:snapToGrid w:val="0"/>
      <w:jc w:val="left"/>
    </w:pPr>
    <w:rPr>
      <w:sz w:val="18"/>
      <w:szCs w:val="18"/>
    </w:rPr>
  </w:style>
  <w:style w:type="character" w:customStyle="1" w:styleId="Char0">
    <w:name w:val="页脚 Char"/>
    <w:basedOn w:val="a0"/>
    <w:link w:val="a4"/>
    <w:uiPriority w:val="99"/>
    <w:rsid w:val="00B560CA"/>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杜一</dc:creator>
  <cp:keywords/>
  <dc:description/>
  <cp:lastModifiedBy>杜一</cp:lastModifiedBy>
  <cp:revision>1</cp:revision>
  <dcterms:created xsi:type="dcterms:W3CDTF">2021-11-23T05:31:00Z</dcterms:created>
  <dcterms:modified xsi:type="dcterms:W3CDTF">2021-11-23T06:54:00Z</dcterms:modified>
</cp:coreProperties>
</file>