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F" w:rsidRDefault="001A423F" w:rsidP="001A423F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3个月同业存单标准利率互换合约要素</w:t>
      </w:r>
    </w:p>
    <w:bookmarkEnd w:id="0"/>
    <w:p w:rsidR="001A423F" w:rsidRPr="001A423F" w:rsidRDefault="001A423F" w:rsidP="001A423F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5985"/>
      </w:tblGrid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合约名称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3个月同业存单利率互换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合约标的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3个月全国性银行同业存单发行利率（PrimeNCD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 xml:space="preserve"> 3M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合约代码</w:t>
            </w:r>
          </w:p>
        </w:tc>
        <w:tc>
          <w:tcPr>
            <w:tcW w:w="5985" w:type="dxa"/>
          </w:tcPr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407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408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409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412</w:t>
            </w:r>
          </w:p>
          <w:p w:rsid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503</w:t>
            </w:r>
          </w:p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 xml:space="preserve">PrimeNCD3M 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_2</w:t>
            </w:r>
            <w:r>
              <w:rPr>
                <w:rFonts w:ascii="仿宋" w:eastAsia="仿宋" w:hAnsi="仿宋"/>
                <w:sz w:val="24"/>
                <w:szCs w:val="24"/>
              </w:rPr>
              <w:t>506等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合约面值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000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万（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手）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合约月份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/>
                <w:sz w:val="24"/>
                <w:szCs w:val="24"/>
              </w:rPr>
              <w:t>4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个季月合约和不在季月循环里的最近2个日历月合约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报价收益率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为最后交易日PrimeNCD3M的预期值（年化利率）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单位：%，精确到0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.0001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%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最小报价单位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.0001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%（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0.01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bp）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合约计息期首日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到期结算日的下一个营业日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合约计息期尾日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计息期首日往后3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M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对应的日历月。如遇节假日，调整为下一个营业日。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计息方式/基准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单利，A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/A-bond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结算方式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现金结算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到期结算日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到期月份的第三个周三，D日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最后交易日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到期结算日前一个工作日，D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-1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新合约上市日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前一个合约最后交易日的下一个营业日，D日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到期结算利率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货币网公布的最后交易日的PrimeNCD3M的数值（年化利率）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累计到期结算金额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（合约到期结算利率-合约成交价）*合约面值*A/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A-Bond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挂牌基准利率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合约上市前一营业日同业拆借中心同业存单（A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AA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）收盘收益率曲线推算出的对应计息期的远期利率</w:t>
            </w:r>
          </w:p>
        </w:tc>
      </w:tr>
      <w:tr w:rsidR="001A423F" w:rsidRPr="001A423F" w:rsidTr="001A423F">
        <w:tc>
          <w:tcPr>
            <w:tcW w:w="2311" w:type="dxa"/>
          </w:tcPr>
          <w:p w:rsidR="001A423F" w:rsidRPr="001A423F" w:rsidRDefault="001A423F" w:rsidP="00A54BFF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每日结算利率</w:t>
            </w:r>
          </w:p>
        </w:tc>
        <w:tc>
          <w:tcPr>
            <w:tcW w:w="5985" w:type="dxa"/>
          </w:tcPr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pacing w:val="-2"/>
                <w:sz w:val="24"/>
                <w:szCs w:val="24"/>
              </w:rPr>
              <w:t>（1</w:t>
            </w:r>
            <w:r w:rsidRPr="001A423F">
              <w:rPr>
                <w:rFonts w:ascii="仿宋" w:eastAsia="仿宋" w:hAnsi="仿宋"/>
                <w:spacing w:val="-2"/>
                <w:sz w:val="24"/>
                <w:szCs w:val="24"/>
              </w:rPr>
              <w:t>）</w:t>
            </w:r>
            <w:r w:rsidRPr="001A423F">
              <w:rPr>
                <w:rFonts w:ascii="仿宋" w:eastAsia="仿宋" w:hAnsi="仿宋" w:hint="eastAsia"/>
                <w:spacing w:val="-2"/>
                <w:sz w:val="24"/>
                <w:szCs w:val="24"/>
              </w:rPr>
              <w:t>取当日最后1小时成交的加权价格，该时段因系统故障等原因导致交易中断的，扣除中断时间后向前取满相应时段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（2）若最后1小时成交笔数少于5笔，则取当日最后5笔交易的加权价格；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（3）若全天该合约成交笔数少于5笔，取最后一小时的（bid的平均+ ofr平均）×0.5；</w:t>
            </w:r>
          </w:p>
          <w:p w:rsidR="001A423F" w:rsidRPr="001A423F" w:rsidRDefault="001A423F" w:rsidP="00A54B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（4）若无报价或出现其他难以确定结算利率的情况，则可取前一日结算利率（如为合约上市首日，则取挂牌基准利率）或同业拆借中心计算的其他利率。</w:t>
            </w:r>
          </w:p>
        </w:tc>
      </w:tr>
      <w:tr w:rsidR="00786F29" w:rsidRPr="001A423F" w:rsidTr="00E84A00">
        <w:tc>
          <w:tcPr>
            <w:tcW w:w="2311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交易时间</w:t>
            </w:r>
          </w:p>
        </w:tc>
        <w:tc>
          <w:tcPr>
            <w:tcW w:w="5985" w:type="dxa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银行间市场交易日9:00-12:00,13:30-16:30</w:t>
            </w:r>
          </w:p>
        </w:tc>
      </w:tr>
      <w:tr w:rsidR="00786F29" w:rsidRPr="001A423F" w:rsidTr="00E84A00">
        <w:tc>
          <w:tcPr>
            <w:tcW w:w="2311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清算方式</w:t>
            </w:r>
          </w:p>
        </w:tc>
        <w:tc>
          <w:tcPr>
            <w:tcW w:w="5985" w:type="dxa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集中清算</w:t>
            </w:r>
          </w:p>
        </w:tc>
      </w:tr>
      <w:tr w:rsidR="00786F29" w:rsidRPr="001A423F" w:rsidTr="00E84A00">
        <w:tc>
          <w:tcPr>
            <w:tcW w:w="2311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结算方式</w:t>
            </w:r>
          </w:p>
        </w:tc>
        <w:tc>
          <w:tcPr>
            <w:tcW w:w="5985" w:type="dxa"/>
            <w:vAlign w:val="center"/>
          </w:tcPr>
          <w:p w:rsidR="00786F29" w:rsidRPr="00332051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32051">
              <w:rPr>
                <w:rFonts w:ascii="仿宋" w:eastAsia="仿宋" w:hAnsi="仿宋" w:hint="eastAsia"/>
                <w:sz w:val="24"/>
                <w:szCs w:val="24"/>
              </w:rPr>
              <w:t>现金结算</w:t>
            </w:r>
          </w:p>
        </w:tc>
      </w:tr>
      <w:tr w:rsidR="00786F29" w:rsidRPr="001A423F" w:rsidTr="001A423F">
        <w:tc>
          <w:tcPr>
            <w:tcW w:w="2311" w:type="dxa"/>
          </w:tcPr>
          <w:p w:rsidR="00786F29" w:rsidRPr="001A423F" w:rsidRDefault="00786F29" w:rsidP="00786F29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涨跌幅</w:t>
            </w:r>
          </w:p>
        </w:tc>
        <w:tc>
          <w:tcPr>
            <w:tcW w:w="5985" w:type="dxa"/>
          </w:tcPr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pacing w:val="-2"/>
                <w:sz w:val="24"/>
                <w:szCs w:val="24"/>
              </w:rPr>
            </w:pPr>
            <w:r w:rsidRPr="001A423F">
              <w:rPr>
                <w:rFonts w:ascii="仿宋" w:eastAsia="仿宋" w:hAnsi="仿宋"/>
                <w:sz w:val="24"/>
                <w:szCs w:val="24"/>
              </w:rPr>
              <w:t>50BP</w:t>
            </w:r>
          </w:p>
        </w:tc>
      </w:tr>
      <w:tr w:rsidR="00786F29" w:rsidRPr="001A423F" w:rsidTr="001A423F">
        <w:tc>
          <w:tcPr>
            <w:tcW w:w="2311" w:type="dxa"/>
          </w:tcPr>
          <w:p w:rsidR="00786F29" w:rsidRPr="001A423F" w:rsidRDefault="00786F29" w:rsidP="00786F29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bCs/>
                <w:sz w:val="24"/>
                <w:szCs w:val="24"/>
              </w:rPr>
              <w:t>头寸报告标准</w:t>
            </w:r>
          </w:p>
        </w:tc>
        <w:tc>
          <w:tcPr>
            <w:tcW w:w="5985" w:type="dxa"/>
          </w:tcPr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当全市场总持仓达到2万手时，单个参与者总持仓占市场总持仓量超过5%的，应当向交易中心履行报告义务。</w:t>
            </w:r>
          </w:p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.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达到以下标准之一的，交易中心可以要求相关参与者履行报告义务：</w:t>
            </w:r>
          </w:p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（1）参与者总持仓占市场总持仓量超过2</w:t>
            </w:r>
            <w:r w:rsidRPr="001A423F">
              <w:rPr>
                <w:rFonts w:ascii="仿宋" w:eastAsia="仿宋" w:hAnsi="仿宋"/>
                <w:sz w:val="24"/>
                <w:szCs w:val="24"/>
              </w:rPr>
              <w:t>0</w:t>
            </w:r>
            <w:r w:rsidRPr="001A423F">
              <w:rPr>
                <w:rFonts w:ascii="仿宋" w:eastAsia="仿宋" w:hAnsi="仿宋" w:hint="eastAsia"/>
                <w:sz w:val="24"/>
                <w:szCs w:val="24"/>
              </w:rPr>
              <w:t>%的。</w:t>
            </w:r>
          </w:p>
          <w:p w:rsidR="00786F29" w:rsidRPr="001A423F" w:rsidRDefault="00786F29" w:rsidP="00786F29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A423F">
              <w:rPr>
                <w:rFonts w:ascii="仿宋" w:eastAsia="仿宋" w:hAnsi="仿宋" w:hint="eastAsia"/>
                <w:sz w:val="24"/>
                <w:szCs w:val="24"/>
              </w:rPr>
              <w:t>（2）其他交易中心要求报告的情形。</w:t>
            </w:r>
          </w:p>
        </w:tc>
      </w:tr>
      <w:tr w:rsidR="00786F29" w:rsidRPr="001A423F" w:rsidTr="001A423F">
        <w:tc>
          <w:tcPr>
            <w:tcW w:w="2311" w:type="dxa"/>
            <w:vAlign w:val="center"/>
          </w:tcPr>
          <w:p w:rsidR="00786F29" w:rsidRPr="00A723B5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23B5">
              <w:rPr>
                <w:rFonts w:ascii="仿宋" w:eastAsia="仿宋" w:hAnsi="仿宋" w:hint="eastAsia"/>
                <w:sz w:val="24"/>
                <w:szCs w:val="24"/>
              </w:rPr>
              <w:t>限额管理</w:t>
            </w:r>
          </w:p>
        </w:tc>
        <w:tc>
          <w:tcPr>
            <w:tcW w:w="5985" w:type="dxa"/>
            <w:vAlign w:val="center"/>
          </w:tcPr>
          <w:p w:rsidR="00786F29" w:rsidRPr="00A723B5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23B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某一合约上市首日起，各参与者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单一合约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单边持仓限额</w:t>
            </w:r>
            <w:r>
              <w:rPr>
                <w:rFonts w:ascii="仿宋" w:eastAsia="仿宋" w:hAnsi="仿宋"/>
                <w:sz w:val="24"/>
                <w:szCs w:val="24"/>
              </w:rPr>
              <w:t>5000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手。</w:t>
            </w:r>
          </w:p>
          <w:p w:rsidR="00786F29" w:rsidRPr="00F91E47" w:rsidRDefault="00786F29" w:rsidP="00786F29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23B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某一合约上市首日起，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全市场单一合约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单边持仓限额为</w:t>
            </w:r>
            <w:r>
              <w:rPr>
                <w:rFonts w:ascii="仿宋" w:eastAsia="仿宋" w:hAnsi="仿宋"/>
                <w:sz w:val="24"/>
                <w:szCs w:val="24"/>
              </w:rPr>
              <w:t>20000</w:t>
            </w:r>
            <w:r w:rsidRPr="00A723B5">
              <w:rPr>
                <w:rFonts w:ascii="仿宋" w:eastAsia="仿宋" w:hAnsi="仿宋" w:hint="eastAsia"/>
                <w:sz w:val="24"/>
                <w:szCs w:val="24"/>
              </w:rPr>
              <w:t>手。</w:t>
            </w:r>
          </w:p>
        </w:tc>
      </w:tr>
    </w:tbl>
    <w:p w:rsidR="00AD6751" w:rsidRPr="001A423F" w:rsidRDefault="00AD6751"/>
    <w:p w:rsidR="00AD6751" w:rsidRDefault="00AD6751"/>
    <w:p w:rsidR="001A423F" w:rsidRDefault="001A423F"/>
    <w:p w:rsidR="001A423F" w:rsidRPr="001A423F" w:rsidRDefault="001A423F"/>
    <w:sectPr w:rsidR="001A423F" w:rsidRPr="001A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E8" w:rsidRDefault="00E505E8" w:rsidP="00E505E8">
      <w:r>
        <w:separator/>
      </w:r>
    </w:p>
  </w:endnote>
  <w:endnote w:type="continuationSeparator" w:id="0">
    <w:p w:rsidR="00E505E8" w:rsidRDefault="00E505E8" w:rsidP="00E5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E8" w:rsidRDefault="00E505E8" w:rsidP="00E505E8">
      <w:r>
        <w:separator/>
      </w:r>
    </w:p>
  </w:footnote>
  <w:footnote w:type="continuationSeparator" w:id="0">
    <w:p w:rsidR="00E505E8" w:rsidRDefault="00E505E8" w:rsidP="00E5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4AE"/>
    <w:multiLevelType w:val="hybridMultilevel"/>
    <w:tmpl w:val="5C104E2C"/>
    <w:lvl w:ilvl="0" w:tplc="5F500EBE">
      <w:start w:val="1"/>
      <w:numFmt w:val="decimal"/>
      <w:lvlText w:val="附件%1"/>
      <w:lvlJc w:val="left"/>
      <w:pPr>
        <w:ind w:left="420" w:hanging="420"/>
      </w:pPr>
      <w:rPr>
        <w:rFonts w:ascii="仿宋" w:eastAsia="仿宋" w:hAnsi="仿宋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4084A"/>
    <w:multiLevelType w:val="multilevel"/>
    <w:tmpl w:val="05C00FB4"/>
    <w:lvl w:ilvl="0">
      <w:start w:val="1"/>
      <w:numFmt w:val="decimal"/>
      <w:pStyle w:val="1"/>
      <w:lvlText w:val="%1"/>
      <w:lvlJc w:val="left"/>
      <w:pPr>
        <w:ind w:left="852" w:hanging="432"/>
      </w:pPr>
      <w:rPr>
        <w:rFonts w:hint="eastAsia"/>
        <w:b/>
      </w:rPr>
    </w:lvl>
    <w:lvl w:ilvl="1">
      <w:start w:val="1"/>
      <w:numFmt w:val="decimal"/>
      <w:pStyle w:val="2"/>
      <w:lvlText w:val="%1.%2"/>
      <w:lvlJc w:val="left"/>
      <w:pPr>
        <w:ind w:left="1428" w:hanging="576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ind w:left="1572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2424" w:hanging="864"/>
      </w:pPr>
      <w:rPr>
        <w:rFonts w:ascii="Calibri" w:hAnsi="Calibri" w:hint="default"/>
      </w:rPr>
    </w:lvl>
    <w:lvl w:ilvl="4">
      <w:start w:val="1"/>
      <w:numFmt w:val="decimal"/>
      <w:pStyle w:val="5"/>
      <w:lvlText w:val="%1.%2.%3.%4.%5"/>
      <w:lvlJc w:val="left"/>
      <w:pPr>
        <w:ind w:left="142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57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71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86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200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51"/>
    <w:rsid w:val="0008158E"/>
    <w:rsid w:val="00086DC2"/>
    <w:rsid w:val="001612F7"/>
    <w:rsid w:val="001A423F"/>
    <w:rsid w:val="002853B2"/>
    <w:rsid w:val="004053FC"/>
    <w:rsid w:val="006664F3"/>
    <w:rsid w:val="00786F29"/>
    <w:rsid w:val="00A54BFF"/>
    <w:rsid w:val="00A723B5"/>
    <w:rsid w:val="00AD6751"/>
    <w:rsid w:val="00B86F98"/>
    <w:rsid w:val="00CD67FF"/>
    <w:rsid w:val="00E505E8"/>
    <w:rsid w:val="00F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8CB5B-955D-424A-AEAF-B649B702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7F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上清所一级"/>
    <w:basedOn w:val="a"/>
    <w:next w:val="a"/>
    <w:link w:val="1Char"/>
    <w:uiPriority w:val="9"/>
    <w:qFormat/>
    <w:rsid w:val="00CD67FF"/>
    <w:pPr>
      <w:keepNext/>
      <w:keepLines/>
      <w:numPr>
        <w:numId w:val="11"/>
      </w:numPr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上清所二级"/>
    <w:basedOn w:val="a"/>
    <w:next w:val="a"/>
    <w:link w:val="2Char"/>
    <w:uiPriority w:val="9"/>
    <w:unhideWhenUsed/>
    <w:qFormat/>
    <w:rsid w:val="00CD67FF"/>
    <w:pPr>
      <w:keepNext/>
      <w:keepLines/>
      <w:numPr>
        <w:ilvl w:val="1"/>
        <w:numId w:val="11"/>
      </w:numPr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aliases w:val="上清所三级"/>
    <w:basedOn w:val="a"/>
    <w:next w:val="a"/>
    <w:link w:val="3Char"/>
    <w:uiPriority w:val="9"/>
    <w:unhideWhenUsed/>
    <w:qFormat/>
    <w:rsid w:val="00CD67FF"/>
    <w:pPr>
      <w:keepNext/>
      <w:keepLines/>
      <w:numPr>
        <w:ilvl w:val="2"/>
        <w:numId w:val="11"/>
      </w:numPr>
      <w:spacing w:before="260" w:after="260" w:line="416" w:lineRule="auto"/>
      <w:outlineLvl w:val="2"/>
    </w:pPr>
    <w:rPr>
      <w:rFonts w:eastAsia="仿宋"/>
      <w:bCs/>
      <w:sz w:val="30"/>
      <w:szCs w:val="32"/>
    </w:rPr>
  </w:style>
  <w:style w:type="paragraph" w:styleId="4">
    <w:name w:val="heading 4"/>
    <w:aliases w:val="上清所四级标题"/>
    <w:basedOn w:val="5"/>
    <w:next w:val="a"/>
    <w:link w:val="4Char"/>
    <w:autoRedefine/>
    <w:uiPriority w:val="9"/>
    <w:unhideWhenUsed/>
    <w:qFormat/>
    <w:rsid w:val="00CD67FF"/>
    <w:pPr>
      <w:numPr>
        <w:ilvl w:val="3"/>
      </w:numPr>
      <w:spacing w:before="0" w:after="0" w:line="360" w:lineRule="auto"/>
      <w:outlineLvl w:val="3"/>
    </w:pPr>
    <w:rPr>
      <w:rFonts w:ascii="仿宋" w:hAnsi="仿宋"/>
      <w:b w:val="0"/>
      <w:bCs w:val="0"/>
      <w:sz w:val="3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D67FF"/>
    <w:pPr>
      <w:keepNext/>
      <w:keepLines/>
      <w:numPr>
        <w:ilvl w:val="4"/>
        <w:numId w:val="11"/>
      </w:numPr>
      <w:spacing w:before="280" w:after="290" w:line="376" w:lineRule="auto"/>
      <w:outlineLvl w:val="4"/>
    </w:pPr>
    <w:rPr>
      <w:rFonts w:eastAsia="仿宋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D67FF"/>
    <w:pPr>
      <w:keepNext/>
      <w:keepLines/>
      <w:numPr>
        <w:ilvl w:val="5"/>
        <w:numId w:val="11"/>
      </w:numPr>
      <w:spacing w:before="240" w:after="64" w:line="320" w:lineRule="auto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7FF"/>
    <w:pPr>
      <w:keepNext/>
      <w:keepLines/>
      <w:numPr>
        <w:ilvl w:val="6"/>
        <w:numId w:val="11"/>
      </w:numPr>
      <w:spacing w:before="240" w:after="64" w:line="320" w:lineRule="auto"/>
      <w:outlineLvl w:val="6"/>
    </w:pPr>
    <w:rPr>
      <w:rFonts w:ascii="仿宋" w:eastAsia="仿宋" w:hAnsi="仿宋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7FF"/>
    <w:pPr>
      <w:keepNext/>
      <w:keepLines/>
      <w:numPr>
        <w:ilvl w:val="7"/>
        <w:numId w:val="11"/>
      </w:numPr>
      <w:spacing w:before="240" w:after="64" w:line="320" w:lineRule="auto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7FF"/>
    <w:pPr>
      <w:keepNext/>
      <w:keepLines/>
      <w:numPr>
        <w:ilvl w:val="8"/>
        <w:numId w:val="11"/>
      </w:numPr>
      <w:spacing w:before="240" w:after="64" w:line="320" w:lineRule="auto"/>
      <w:outlineLvl w:val="8"/>
    </w:pPr>
    <w:rPr>
      <w:rFonts w:ascii="Calibri Light" w:hAnsi="Calibri Light"/>
      <w:sz w:val="3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D67F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3">
    <w:name w:val="公文正文"/>
    <w:basedOn w:val="a"/>
    <w:link w:val="Char"/>
    <w:qFormat/>
    <w:rsid w:val="00CD67FF"/>
    <w:pPr>
      <w:spacing w:line="360" w:lineRule="auto"/>
      <w:ind w:firstLineChars="200" w:firstLine="200"/>
    </w:pPr>
    <w:rPr>
      <w:rFonts w:ascii="Times New Roman" w:eastAsia="仿宋" w:hAnsi="Times New Roman"/>
      <w:kern w:val="0"/>
      <w:sz w:val="30"/>
      <w:szCs w:val="24"/>
    </w:rPr>
  </w:style>
  <w:style w:type="character" w:customStyle="1" w:styleId="Char">
    <w:name w:val="公文正文 Char"/>
    <w:link w:val="a3"/>
    <w:rsid w:val="00CD67FF"/>
    <w:rPr>
      <w:rFonts w:ascii="Times New Roman" w:eastAsia="仿宋" w:hAnsi="Times New Roman"/>
      <w:sz w:val="30"/>
      <w:szCs w:val="24"/>
    </w:rPr>
  </w:style>
  <w:style w:type="character" w:customStyle="1" w:styleId="1Char">
    <w:name w:val="标题 1 Char"/>
    <w:aliases w:val="上清所一级 Char"/>
    <w:link w:val="1"/>
    <w:uiPriority w:val="9"/>
    <w:rsid w:val="00CD67FF"/>
    <w:rPr>
      <w:b/>
      <w:bCs/>
      <w:kern w:val="44"/>
      <w:sz w:val="44"/>
      <w:szCs w:val="44"/>
    </w:rPr>
  </w:style>
  <w:style w:type="character" w:customStyle="1" w:styleId="2Char">
    <w:name w:val="标题 2 Char"/>
    <w:aliases w:val="上清所二级 Char"/>
    <w:link w:val="2"/>
    <w:uiPriority w:val="9"/>
    <w:rsid w:val="00CD67FF"/>
    <w:rPr>
      <w:rFonts w:ascii="Cambria" w:eastAsia="仿宋" w:hAnsi="Cambria"/>
      <w:b/>
      <w:bCs/>
      <w:kern w:val="2"/>
      <w:sz w:val="30"/>
      <w:szCs w:val="32"/>
    </w:rPr>
  </w:style>
  <w:style w:type="character" w:customStyle="1" w:styleId="3Char">
    <w:name w:val="标题 3 Char"/>
    <w:aliases w:val="上清所三级 Char"/>
    <w:link w:val="3"/>
    <w:uiPriority w:val="9"/>
    <w:rsid w:val="00CD67FF"/>
    <w:rPr>
      <w:rFonts w:eastAsia="仿宋"/>
      <w:bCs/>
      <w:kern w:val="2"/>
      <w:sz w:val="30"/>
      <w:szCs w:val="32"/>
    </w:rPr>
  </w:style>
  <w:style w:type="character" w:customStyle="1" w:styleId="4Char">
    <w:name w:val="标题 4 Char"/>
    <w:aliases w:val="上清所四级标题 Char"/>
    <w:link w:val="4"/>
    <w:uiPriority w:val="9"/>
    <w:rsid w:val="00CD67FF"/>
    <w:rPr>
      <w:rFonts w:ascii="仿宋" w:eastAsia="仿宋" w:hAnsi="仿宋"/>
      <w:sz w:val="30"/>
      <w:szCs w:val="28"/>
    </w:rPr>
  </w:style>
  <w:style w:type="character" w:customStyle="1" w:styleId="5Char">
    <w:name w:val="标题 5 Char"/>
    <w:link w:val="5"/>
    <w:uiPriority w:val="9"/>
    <w:rsid w:val="00CD67FF"/>
    <w:rPr>
      <w:rFonts w:eastAsia="仿宋"/>
      <w:b/>
      <w:bCs/>
      <w:sz w:val="28"/>
      <w:szCs w:val="28"/>
    </w:rPr>
  </w:style>
  <w:style w:type="character" w:customStyle="1" w:styleId="6Char">
    <w:name w:val="标题 6 Char"/>
    <w:link w:val="6"/>
    <w:uiPriority w:val="9"/>
    <w:rsid w:val="00CD67FF"/>
    <w:rPr>
      <w:rFonts w:ascii="Calibri Light" w:hAnsi="Calibri Light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CD67FF"/>
    <w:rPr>
      <w:rFonts w:ascii="仿宋" w:eastAsia="仿宋" w:hAnsi="仿宋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CD67FF"/>
    <w:rPr>
      <w:rFonts w:ascii="Calibri Light" w:hAnsi="Calibri Light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CD67FF"/>
    <w:rPr>
      <w:rFonts w:ascii="Calibri Light" w:hAnsi="Calibri Light"/>
      <w:kern w:val="2"/>
      <w:sz w:val="30"/>
      <w:szCs w:val="21"/>
    </w:rPr>
  </w:style>
  <w:style w:type="paragraph" w:styleId="a4">
    <w:name w:val="caption"/>
    <w:basedOn w:val="a"/>
    <w:next w:val="a"/>
    <w:uiPriority w:val="35"/>
    <w:unhideWhenUsed/>
    <w:qFormat/>
    <w:rsid w:val="00CD67FF"/>
    <w:pPr>
      <w:jc w:val="center"/>
    </w:pPr>
    <w:rPr>
      <w:rFonts w:ascii="仿宋" w:eastAsia="仿宋" w:hAnsi="仿宋"/>
      <w:sz w:val="28"/>
      <w:szCs w:val="28"/>
    </w:rPr>
  </w:style>
  <w:style w:type="paragraph" w:styleId="a5">
    <w:name w:val="Title"/>
    <w:basedOn w:val="a"/>
    <w:next w:val="a"/>
    <w:link w:val="Char0"/>
    <w:uiPriority w:val="10"/>
    <w:qFormat/>
    <w:rsid w:val="00CD67FF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customStyle="1" w:styleId="Char0">
    <w:name w:val="标题 Char"/>
    <w:link w:val="a5"/>
    <w:uiPriority w:val="10"/>
    <w:rsid w:val="00CD67FF"/>
    <w:rPr>
      <w:rFonts w:ascii="Calibri Light" w:hAnsi="Calibri Light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CD67FF"/>
    <w:pPr>
      <w:spacing w:before="240" w:after="60" w:line="312" w:lineRule="auto"/>
      <w:ind w:left="420" w:hanging="420"/>
      <w:jc w:val="left"/>
      <w:outlineLvl w:val="1"/>
    </w:pPr>
    <w:rPr>
      <w:rFonts w:ascii="仿宋" w:eastAsia="仿宋" w:hAnsi="仿宋"/>
      <w:bCs/>
      <w:kern w:val="28"/>
      <w:sz w:val="30"/>
      <w:szCs w:val="30"/>
    </w:rPr>
  </w:style>
  <w:style w:type="character" w:customStyle="1" w:styleId="Char1">
    <w:name w:val="副标题 Char"/>
    <w:link w:val="a6"/>
    <w:uiPriority w:val="11"/>
    <w:rsid w:val="00CD67FF"/>
    <w:rPr>
      <w:rFonts w:ascii="仿宋" w:eastAsia="仿宋" w:hAnsi="仿宋"/>
      <w:bCs/>
      <w:kern w:val="28"/>
      <w:sz w:val="30"/>
      <w:szCs w:val="30"/>
    </w:rPr>
  </w:style>
  <w:style w:type="character" w:styleId="a7">
    <w:name w:val="Strong"/>
    <w:uiPriority w:val="22"/>
    <w:qFormat/>
    <w:rsid w:val="00CD67FF"/>
    <w:rPr>
      <w:b/>
      <w:bCs/>
    </w:rPr>
  </w:style>
  <w:style w:type="paragraph" w:styleId="a8">
    <w:name w:val="No Spacing"/>
    <w:uiPriority w:val="1"/>
    <w:qFormat/>
    <w:rsid w:val="00CD67FF"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link w:val="Char2"/>
    <w:uiPriority w:val="34"/>
    <w:qFormat/>
    <w:rsid w:val="00CD67FF"/>
    <w:pPr>
      <w:ind w:firstLineChars="200" w:firstLine="420"/>
    </w:pPr>
  </w:style>
  <w:style w:type="character" w:customStyle="1" w:styleId="Char2">
    <w:name w:val="列出段落 Char"/>
    <w:link w:val="a9"/>
    <w:uiPriority w:val="34"/>
    <w:qFormat/>
    <w:rsid w:val="00CD67FF"/>
    <w:rPr>
      <w:kern w:val="2"/>
      <w:sz w:val="21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CD67F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a">
    <w:name w:val="header"/>
    <w:basedOn w:val="a"/>
    <w:link w:val="Char3"/>
    <w:uiPriority w:val="99"/>
    <w:unhideWhenUsed/>
    <w:rsid w:val="00E5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505E8"/>
    <w:rPr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5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505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杜一</dc:creator>
  <cp:keywords/>
  <dc:description/>
  <cp:lastModifiedBy>Microsoft 帐户</cp:lastModifiedBy>
  <cp:revision>2</cp:revision>
  <dcterms:created xsi:type="dcterms:W3CDTF">2024-07-04T01:10:00Z</dcterms:created>
  <dcterms:modified xsi:type="dcterms:W3CDTF">2024-07-04T01:10:00Z</dcterms:modified>
</cp:coreProperties>
</file>