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35" w:rsidRPr="001325C3" w:rsidRDefault="00915135" w:rsidP="00915135">
      <w:pPr>
        <w:adjustRightInd w:val="0"/>
        <w:snapToGrid w:val="0"/>
        <w:spacing w:line="560" w:lineRule="exact"/>
        <w:jc w:val="left"/>
        <w:rPr>
          <w:rFonts w:ascii="黑体" w:eastAsia="黑体" w:hAnsi="黑体" w:hint="eastAsia"/>
          <w:szCs w:val="32"/>
        </w:rPr>
      </w:pPr>
      <w:r w:rsidRPr="001325C3">
        <w:rPr>
          <w:rFonts w:ascii="黑体" w:eastAsia="黑体" w:hAnsi="黑体"/>
          <w:szCs w:val="32"/>
        </w:rPr>
        <w:t>附</w:t>
      </w:r>
      <w:r w:rsidRPr="001325C3">
        <w:rPr>
          <w:rFonts w:ascii="黑体" w:eastAsia="黑体" w:hAnsi="黑体" w:hint="eastAsia"/>
          <w:szCs w:val="32"/>
        </w:rPr>
        <w:t>件</w:t>
      </w:r>
      <w:r w:rsidRPr="001325C3">
        <w:rPr>
          <w:rFonts w:ascii="黑体" w:eastAsia="黑体" w:hAnsi="黑体"/>
          <w:szCs w:val="32"/>
        </w:rPr>
        <w:t xml:space="preserve">1 </w:t>
      </w:r>
    </w:p>
    <w:p w:rsidR="00915135" w:rsidRPr="001325C3" w:rsidRDefault="00915135" w:rsidP="00915135">
      <w:pPr>
        <w:adjustRightInd w:val="0"/>
        <w:snapToGrid w:val="0"/>
        <w:spacing w:line="560" w:lineRule="exact"/>
        <w:jc w:val="left"/>
        <w:rPr>
          <w:rFonts w:ascii="黑体" w:eastAsia="黑体" w:hAnsi="黑体"/>
          <w:szCs w:val="32"/>
        </w:rPr>
      </w:pPr>
    </w:p>
    <w:p w:rsidR="00915135" w:rsidRPr="001325C3" w:rsidRDefault="00915135" w:rsidP="00915135">
      <w:pPr>
        <w:spacing w:line="560" w:lineRule="exact"/>
        <w:jc w:val="center"/>
        <w:rPr>
          <w:rFonts w:ascii="宋体" w:eastAsia="宋体" w:hAnsi="宋体"/>
          <w:b/>
          <w:sz w:val="44"/>
          <w:szCs w:val="44"/>
        </w:rPr>
      </w:pPr>
      <w:bookmarkStart w:id="0" w:name="_GoBack"/>
      <w:r w:rsidRPr="001325C3">
        <w:rPr>
          <w:rFonts w:ascii="宋体" w:eastAsia="宋体" w:hAnsi="宋体" w:hint="eastAsia"/>
          <w:b/>
          <w:sz w:val="44"/>
          <w:szCs w:val="44"/>
        </w:rPr>
        <w:t>CFETS-SHCH 民企CDS指数</w:t>
      </w:r>
      <w:r w:rsidRPr="001325C3">
        <w:rPr>
          <w:rFonts w:ascii="宋体" w:eastAsia="宋体" w:hAnsi="宋体"/>
          <w:b/>
          <w:sz w:val="44"/>
          <w:szCs w:val="44"/>
        </w:rPr>
        <w:t>编制说明</w:t>
      </w:r>
      <w:bookmarkEnd w:id="0"/>
    </w:p>
    <w:p w:rsidR="00915135" w:rsidRPr="001325C3" w:rsidRDefault="00915135" w:rsidP="00915135">
      <w:pPr>
        <w:spacing w:line="560" w:lineRule="exact"/>
        <w:rPr>
          <w:rFonts w:ascii="仿宋_GB2312" w:hint="eastAsia"/>
          <w:szCs w:val="32"/>
        </w:rPr>
      </w:pPr>
    </w:p>
    <w:p w:rsidR="00915135" w:rsidRPr="001325C3" w:rsidRDefault="00915135" w:rsidP="00915135">
      <w:pPr>
        <w:spacing w:line="560" w:lineRule="exact"/>
        <w:ind w:firstLineChars="200" w:firstLine="640"/>
        <w:rPr>
          <w:rFonts w:ascii="黑体" w:eastAsia="黑体" w:hAnsi="黑体" w:hint="eastAsia"/>
          <w:szCs w:val="32"/>
        </w:rPr>
      </w:pPr>
      <w:bookmarkStart w:id="1" w:name="OLE_LINK1"/>
      <w:bookmarkStart w:id="2" w:name="OLE_LINK2"/>
      <w:r w:rsidRPr="001325C3">
        <w:rPr>
          <w:rFonts w:ascii="黑体" w:eastAsia="黑体" w:hAnsi="黑体" w:hint="eastAsia"/>
          <w:szCs w:val="32"/>
        </w:rPr>
        <w:t>一、指数创建规则</w:t>
      </w:r>
      <w:bookmarkEnd w:id="1"/>
      <w:bookmarkEnd w:id="2"/>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指数管理人依据以下标准，选取排名前25的参考实体创建CDS指数，25个参考实体等权重，权重为1/25。指数创建筛选规则如下：</w:t>
      </w:r>
    </w:p>
    <w:p w:rsidR="00915135" w:rsidRPr="001325C3" w:rsidRDefault="00915135" w:rsidP="00915135">
      <w:pPr>
        <w:spacing w:line="560" w:lineRule="exact"/>
        <w:ind w:firstLineChars="200" w:firstLine="643"/>
        <w:rPr>
          <w:rFonts w:ascii="仿宋_GB2312" w:hint="eastAsia"/>
          <w:b/>
          <w:szCs w:val="32"/>
        </w:rPr>
      </w:pPr>
      <w:r w:rsidRPr="001325C3">
        <w:rPr>
          <w:rFonts w:ascii="仿宋_GB2312" w:hint="eastAsia"/>
          <w:b/>
          <w:szCs w:val="32"/>
        </w:rPr>
        <w:t>（一）通用标准</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1、参考实体为非金融民营企业；</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2、参考实体主体评级在AA及以上（取中诚信国际、联合资信、大公国际、上海新世纪、鹏元资信、东方金</w:t>
      </w:r>
      <w:proofErr w:type="gramStart"/>
      <w:r w:rsidRPr="001325C3">
        <w:rPr>
          <w:rFonts w:ascii="仿宋_GB2312" w:hint="eastAsia"/>
          <w:szCs w:val="32"/>
        </w:rPr>
        <w:t>诚发布</w:t>
      </w:r>
      <w:proofErr w:type="gramEnd"/>
      <w:r w:rsidRPr="001325C3">
        <w:rPr>
          <w:rFonts w:ascii="仿宋_GB2312" w:hint="eastAsia"/>
          <w:szCs w:val="32"/>
        </w:rPr>
        <w:t>的最低评级）；</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3、参考实体最近2年内曾发行债券，存续债券的剩余期限大于等于1年，且在中国银行间市场有存续债券；</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4、参考实体具有公开财务报表；</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5、参考实体不满足以下标准的任何一项：</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1）公司事件：指数管理人依据公开信息，自行确定参考实体相关的公司事件已经发生或被宣布。其中，公司事件指兼并、收购或相似事件，公开信息包括但不限于公开提交信息、财务报表、由主要财经新闻发布或其他被承认的出版物或电子设备所发布的信息。</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（2）信用事件：指数管理人根据公开信息判定参考实体已发生破产、支付违约等信用事件。</w:t>
      </w:r>
    </w:p>
    <w:p w:rsidR="00915135" w:rsidRPr="001325C3" w:rsidRDefault="00915135" w:rsidP="00915135">
      <w:pPr>
        <w:spacing w:line="560" w:lineRule="exact"/>
        <w:ind w:firstLineChars="200" w:firstLine="643"/>
        <w:rPr>
          <w:rFonts w:ascii="仿宋_GB2312" w:hint="eastAsia"/>
          <w:b/>
          <w:szCs w:val="32"/>
        </w:rPr>
      </w:pPr>
      <w:r w:rsidRPr="001325C3">
        <w:rPr>
          <w:rFonts w:ascii="仿宋_GB2312" w:hint="eastAsia"/>
          <w:b/>
          <w:szCs w:val="32"/>
        </w:rPr>
        <w:lastRenderedPageBreak/>
        <w:t>（二）主体评分</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将上述参考实体分别按托管量（包含银行间和交易所市场债券）、二级市场现券买卖流动性情况（包含银行间和交易所市场债券）及总资产收益率、总资产、利息保障倍数、经营活动现金流等财务指标进行评分。</w:t>
      </w:r>
    </w:p>
    <w:p w:rsidR="00915135" w:rsidRPr="001325C3" w:rsidRDefault="00915135" w:rsidP="00915135">
      <w:pPr>
        <w:spacing w:line="560" w:lineRule="exact"/>
        <w:ind w:firstLineChars="200" w:firstLine="643"/>
        <w:rPr>
          <w:rFonts w:ascii="仿宋_GB2312" w:hint="eastAsia"/>
          <w:b/>
          <w:szCs w:val="32"/>
        </w:rPr>
      </w:pPr>
      <w:r w:rsidRPr="001325C3">
        <w:rPr>
          <w:rFonts w:ascii="仿宋_GB2312" w:hint="eastAsia"/>
          <w:b/>
          <w:szCs w:val="32"/>
        </w:rPr>
        <w:t>（三）复选标准</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1、根据交易中心和上海清算所筛选标准，剔除信用资质过低的实体；</w:t>
      </w:r>
    </w:p>
    <w:p w:rsidR="00915135" w:rsidRPr="001325C3" w:rsidDel="0068278A" w:rsidRDefault="00915135" w:rsidP="00915135">
      <w:pPr>
        <w:spacing w:line="560" w:lineRule="exact"/>
        <w:ind w:firstLineChars="200" w:firstLine="640"/>
        <w:rPr>
          <w:rFonts w:ascii="仿宋_GB2312" w:hint="eastAsia"/>
          <w:szCs w:val="32"/>
        </w:rPr>
      </w:pPr>
      <w:r w:rsidRPr="001325C3">
        <w:rPr>
          <w:rFonts w:ascii="仿宋_GB2312" w:hint="eastAsia"/>
          <w:szCs w:val="32"/>
        </w:rPr>
        <w:t>2、</w:t>
      </w:r>
      <w:r w:rsidRPr="001325C3" w:rsidDel="0068278A">
        <w:rPr>
          <w:rFonts w:ascii="仿宋_GB2312" w:hint="eastAsia"/>
          <w:szCs w:val="32"/>
        </w:rPr>
        <w:t>相互间具有直接或间接控股关系的多个参考实体仅保留一个（</w:t>
      </w:r>
      <w:r w:rsidRPr="001325C3">
        <w:rPr>
          <w:rFonts w:ascii="仿宋_GB2312" w:hint="eastAsia"/>
          <w:szCs w:val="32"/>
        </w:rPr>
        <w:t>保留主体评分较高</w:t>
      </w:r>
      <w:r w:rsidRPr="001325C3" w:rsidDel="0068278A">
        <w:rPr>
          <w:rFonts w:ascii="仿宋_GB2312" w:hint="eastAsia"/>
          <w:szCs w:val="32"/>
        </w:rPr>
        <w:t>的实体）</w:t>
      </w:r>
      <w:r w:rsidRPr="001325C3">
        <w:rPr>
          <w:rFonts w:ascii="仿宋_GB2312" w:hint="eastAsia"/>
          <w:szCs w:val="32"/>
        </w:rPr>
        <w:t>。</w:t>
      </w:r>
    </w:p>
    <w:p w:rsidR="00915135" w:rsidRPr="001325C3" w:rsidRDefault="00915135" w:rsidP="00915135">
      <w:pPr>
        <w:spacing w:line="560" w:lineRule="exact"/>
        <w:ind w:firstLineChars="200" w:firstLine="643"/>
        <w:rPr>
          <w:rFonts w:ascii="仿宋_GB2312" w:hint="eastAsia"/>
          <w:b/>
          <w:szCs w:val="32"/>
        </w:rPr>
      </w:pPr>
      <w:r w:rsidRPr="001325C3">
        <w:rPr>
          <w:rFonts w:ascii="仿宋_GB2312" w:hint="eastAsia"/>
          <w:b/>
          <w:szCs w:val="32"/>
        </w:rPr>
        <w:t>（四）排序并创建列表</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将经过上述（一）、（二）、（三）步的参考实体按如下顺序排序，创建指数实体列表：</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1、根据参考实体主体评分从高到低排序；</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2、主体评分一致的，按照参考实体首字母顺序排序；</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3、按照评分从高到低选取25个参考实体。</w:t>
      </w:r>
    </w:p>
    <w:p w:rsidR="00915135" w:rsidRPr="001325C3" w:rsidRDefault="00915135" w:rsidP="00915135">
      <w:pPr>
        <w:spacing w:line="560" w:lineRule="exact"/>
        <w:ind w:firstLineChars="200" w:firstLine="640"/>
        <w:rPr>
          <w:rFonts w:ascii="黑体" w:eastAsia="黑体" w:hAnsi="黑体" w:hint="eastAsia"/>
          <w:szCs w:val="32"/>
        </w:rPr>
      </w:pPr>
      <w:r w:rsidRPr="001325C3">
        <w:rPr>
          <w:rFonts w:ascii="黑体" w:eastAsia="黑体" w:hAnsi="黑体" w:hint="eastAsia"/>
          <w:szCs w:val="32"/>
        </w:rPr>
        <w:t>二、指数命名规则</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 xml:space="preserve">CFETS-SHCH 民企CDS指数的命名格式标准为：&lt;CFETS-SHCH 民企CDS指数&gt; Sn </w:t>
      </w:r>
      <w:proofErr w:type="spellStart"/>
      <w:r w:rsidRPr="001325C3">
        <w:rPr>
          <w:rFonts w:ascii="仿宋_GB2312" w:hint="eastAsia"/>
          <w:szCs w:val="32"/>
        </w:rPr>
        <w:t>Vn</w:t>
      </w:r>
      <w:proofErr w:type="spellEnd"/>
      <w:r w:rsidRPr="001325C3">
        <w:rPr>
          <w:rFonts w:ascii="仿宋_GB2312" w:hint="eastAsia"/>
          <w:szCs w:val="32"/>
        </w:rPr>
        <w:t>。指数名字中“S”</w:t>
      </w:r>
      <w:proofErr w:type="gramStart"/>
      <w:r w:rsidRPr="001325C3">
        <w:rPr>
          <w:rFonts w:ascii="仿宋_GB2312" w:hint="eastAsia"/>
          <w:szCs w:val="32"/>
        </w:rPr>
        <w:t>后数字</w:t>
      </w:r>
      <w:proofErr w:type="gramEnd"/>
      <w:r w:rsidRPr="001325C3">
        <w:rPr>
          <w:rFonts w:ascii="仿宋_GB2312" w:hint="eastAsia"/>
          <w:szCs w:val="32"/>
        </w:rPr>
        <w:t>初始为1，并随着指数滚动日到来依次增加；“V”</w:t>
      </w:r>
      <w:proofErr w:type="gramStart"/>
      <w:r w:rsidRPr="001325C3">
        <w:rPr>
          <w:rFonts w:ascii="仿宋_GB2312" w:hint="eastAsia"/>
          <w:szCs w:val="32"/>
        </w:rPr>
        <w:t>后数字</w:t>
      </w:r>
      <w:proofErr w:type="gramEnd"/>
      <w:r w:rsidRPr="001325C3">
        <w:rPr>
          <w:rFonts w:ascii="仿宋_GB2312" w:hint="eastAsia"/>
          <w:szCs w:val="32"/>
        </w:rPr>
        <w:t>在每次滚动时均为1，仅当</w:t>
      </w:r>
      <w:proofErr w:type="gramStart"/>
      <w:r w:rsidRPr="001325C3">
        <w:rPr>
          <w:rFonts w:ascii="仿宋_GB2312" w:hint="eastAsia"/>
          <w:szCs w:val="32"/>
        </w:rPr>
        <w:t>指数存该滚动</w:t>
      </w:r>
      <w:proofErr w:type="gramEnd"/>
      <w:r w:rsidRPr="001325C3">
        <w:rPr>
          <w:rFonts w:ascii="仿宋_GB2312" w:hint="eastAsia"/>
          <w:szCs w:val="32"/>
        </w:rPr>
        <w:t>日至下一个滚动日之间有参考实体发生信用事件被除名时，“V”</w:t>
      </w:r>
      <w:proofErr w:type="gramStart"/>
      <w:r w:rsidRPr="001325C3">
        <w:rPr>
          <w:rFonts w:ascii="仿宋_GB2312" w:hint="eastAsia"/>
          <w:szCs w:val="32"/>
        </w:rPr>
        <w:t>后数字</w:t>
      </w:r>
      <w:proofErr w:type="gramEnd"/>
      <w:r w:rsidRPr="001325C3">
        <w:rPr>
          <w:rFonts w:ascii="仿宋_GB2312" w:hint="eastAsia"/>
          <w:szCs w:val="32"/>
        </w:rPr>
        <w:t>加1。</w:t>
      </w:r>
    </w:p>
    <w:p w:rsidR="00915135" w:rsidRPr="001325C3" w:rsidRDefault="00915135" w:rsidP="00915135">
      <w:pPr>
        <w:spacing w:line="560" w:lineRule="exact"/>
        <w:ind w:firstLineChars="200" w:firstLine="640"/>
        <w:rPr>
          <w:rFonts w:ascii="黑体" w:eastAsia="黑体" w:hAnsi="黑体" w:hint="eastAsia"/>
          <w:szCs w:val="32"/>
        </w:rPr>
      </w:pPr>
      <w:r w:rsidRPr="001325C3">
        <w:rPr>
          <w:rFonts w:ascii="黑体" w:eastAsia="黑体" w:hAnsi="黑体" w:hint="eastAsia"/>
          <w:szCs w:val="32"/>
        </w:rPr>
        <w:t>三、指数滚动规则</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指数管理人在指数滚动日对指数成分进行调整，每年根</w:t>
      </w:r>
      <w:r w:rsidRPr="001325C3">
        <w:rPr>
          <w:rFonts w:ascii="仿宋_GB2312" w:hint="eastAsia"/>
          <w:szCs w:val="32"/>
        </w:rPr>
        <w:lastRenderedPageBreak/>
        <w:t>据营业日准则调整的3月20日、9月20日为指数滚动日，滚动日指数调整规则如下：指数管理人在滚动日的前7个交易</w:t>
      </w:r>
      <w:proofErr w:type="gramStart"/>
      <w:r w:rsidRPr="001325C3">
        <w:rPr>
          <w:rFonts w:ascii="仿宋_GB2312" w:hint="eastAsia"/>
          <w:szCs w:val="32"/>
        </w:rPr>
        <w:t>日根据</w:t>
      </w:r>
      <w:proofErr w:type="gramEnd"/>
      <w:r w:rsidRPr="001325C3">
        <w:rPr>
          <w:rFonts w:ascii="仿宋_GB2312" w:hint="eastAsia"/>
          <w:szCs w:val="32"/>
        </w:rPr>
        <w:t>指数创建规则的</w:t>
      </w:r>
      <w:bookmarkStart w:id="3" w:name="OLE_LINK8"/>
      <w:r w:rsidRPr="001325C3">
        <w:rPr>
          <w:rFonts w:ascii="仿宋_GB2312" w:hint="eastAsia"/>
          <w:szCs w:val="32"/>
        </w:rPr>
        <w:t>（一）、（二）、（三）</w:t>
      </w:r>
      <w:bookmarkEnd w:id="3"/>
      <w:proofErr w:type="gramStart"/>
      <w:r w:rsidRPr="001325C3">
        <w:rPr>
          <w:rFonts w:ascii="仿宋_GB2312" w:hint="eastAsia"/>
          <w:szCs w:val="32"/>
        </w:rPr>
        <w:t>步对符合</w:t>
      </w:r>
      <w:proofErr w:type="gramEnd"/>
      <w:r w:rsidRPr="001325C3">
        <w:rPr>
          <w:rFonts w:ascii="仿宋_GB2312" w:hint="eastAsia"/>
          <w:szCs w:val="32"/>
        </w:rPr>
        <w:t>筛选条件的所有实体进行评分，并将其中未在</w:t>
      </w:r>
      <w:proofErr w:type="gramStart"/>
      <w:r w:rsidRPr="001325C3">
        <w:rPr>
          <w:rFonts w:ascii="仿宋_GB2312" w:hint="eastAsia"/>
          <w:szCs w:val="32"/>
        </w:rPr>
        <w:t>原指数</w:t>
      </w:r>
      <w:proofErr w:type="gramEnd"/>
      <w:r w:rsidRPr="001325C3">
        <w:rPr>
          <w:rFonts w:ascii="仿宋_GB2312" w:hint="eastAsia"/>
          <w:szCs w:val="32"/>
        </w:rPr>
        <w:t>实体列表中的参考实体记入“滚入名单候选”。将</w:t>
      </w:r>
      <w:proofErr w:type="gramStart"/>
      <w:r w:rsidRPr="001325C3">
        <w:rPr>
          <w:rFonts w:ascii="仿宋_GB2312" w:hint="eastAsia"/>
          <w:szCs w:val="32"/>
        </w:rPr>
        <w:t>原指数</w:t>
      </w:r>
      <w:proofErr w:type="gramEnd"/>
      <w:r w:rsidRPr="001325C3">
        <w:rPr>
          <w:rFonts w:ascii="仿宋_GB2312" w:hint="eastAsia"/>
          <w:szCs w:val="32"/>
        </w:rPr>
        <w:t>实体列表中不符合筛选条件的N</w:t>
      </w:r>
      <w:proofErr w:type="gramStart"/>
      <w:r w:rsidRPr="001325C3">
        <w:rPr>
          <w:rFonts w:ascii="仿宋_GB2312" w:hint="eastAsia"/>
          <w:szCs w:val="32"/>
        </w:rPr>
        <w:t>个</w:t>
      </w:r>
      <w:proofErr w:type="gramEnd"/>
      <w:r w:rsidRPr="001325C3">
        <w:rPr>
          <w:rFonts w:ascii="仿宋_GB2312" w:hint="eastAsia"/>
          <w:szCs w:val="32"/>
        </w:rPr>
        <w:t>实体记入“滚出名单”，若N小于3，则从</w:t>
      </w:r>
      <w:proofErr w:type="gramStart"/>
      <w:r w:rsidRPr="001325C3">
        <w:rPr>
          <w:rFonts w:ascii="仿宋_GB2312" w:hint="eastAsia"/>
          <w:szCs w:val="32"/>
        </w:rPr>
        <w:t>原指数</w:t>
      </w:r>
      <w:proofErr w:type="gramEnd"/>
      <w:r w:rsidRPr="001325C3">
        <w:rPr>
          <w:rFonts w:ascii="仿宋_GB2312" w:hint="eastAsia"/>
          <w:szCs w:val="32"/>
        </w:rPr>
        <w:t>实体列表中依次选出主体评分排名靠后的3-N</w:t>
      </w:r>
      <w:proofErr w:type="gramStart"/>
      <w:r w:rsidRPr="001325C3">
        <w:rPr>
          <w:rFonts w:ascii="仿宋_GB2312" w:hint="eastAsia"/>
          <w:szCs w:val="32"/>
        </w:rPr>
        <w:t>个</w:t>
      </w:r>
      <w:proofErr w:type="gramEnd"/>
      <w:r w:rsidRPr="001325C3">
        <w:rPr>
          <w:rFonts w:ascii="仿宋_GB2312" w:hint="eastAsia"/>
          <w:szCs w:val="32"/>
        </w:rPr>
        <w:t>参考实体同时记入“滚出名单”和“滚入名单候选”；若N大于等于3，则不再补充“滚出名单”。在“滚入名单候选”中按照主体评分从高到低将参考实体依次纳入新指数实体列表中，直到新指数实体列表实体个数达到25或“滚入名单候选”中的参考实体均已纳入。</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指数管理人于滚动日的前7个交易日公示临时CDS指数实体列表，以公开征求意见，指数管理人将查看意见并决定是否有必要对CDS指数实体列表</w:t>
      </w:r>
      <w:proofErr w:type="gramStart"/>
      <w:r w:rsidRPr="001325C3">
        <w:rPr>
          <w:rFonts w:ascii="仿宋_GB2312" w:hint="eastAsia"/>
          <w:szCs w:val="32"/>
        </w:rPr>
        <w:t>作出</w:t>
      </w:r>
      <w:proofErr w:type="gramEnd"/>
      <w:r w:rsidRPr="001325C3">
        <w:rPr>
          <w:rFonts w:ascii="仿宋_GB2312" w:hint="eastAsia"/>
          <w:szCs w:val="32"/>
        </w:rPr>
        <w:t>修正，指数管理人无义务遵循或逐一回复每个意见。滚动日前3个交易</w:t>
      </w:r>
      <w:proofErr w:type="gramStart"/>
      <w:r w:rsidRPr="001325C3">
        <w:rPr>
          <w:rFonts w:ascii="仿宋_GB2312" w:hint="eastAsia"/>
          <w:szCs w:val="32"/>
        </w:rPr>
        <w:t>日停止</w:t>
      </w:r>
      <w:proofErr w:type="gramEnd"/>
      <w:r w:rsidRPr="001325C3">
        <w:rPr>
          <w:rFonts w:ascii="仿宋_GB2312" w:hint="eastAsia"/>
          <w:szCs w:val="32"/>
        </w:rPr>
        <w:t>征求意见。指数管理人将于滚动日前一个交易日下午5点之后公布滚动后的最终CDS指数实体列表。</w:t>
      </w:r>
    </w:p>
    <w:p w:rsidR="00915135" w:rsidRPr="001325C3" w:rsidRDefault="00915135" w:rsidP="00915135">
      <w:pPr>
        <w:spacing w:line="560" w:lineRule="exact"/>
        <w:ind w:firstLineChars="200" w:firstLine="640"/>
        <w:rPr>
          <w:rFonts w:ascii="黑体" w:eastAsia="黑体" w:hAnsi="黑体" w:hint="eastAsia"/>
          <w:szCs w:val="32"/>
        </w:rPr>
      </w:pPr>
      <w:r w:rsidRPr="001325C3">
        <w:rPr>
          <w:rFonts w:ascii="黑体" w:eastAsia="黑体" w:hAnsi="黑体" w:hint="eastAsia"/>
          <w:szCs w:val="32"/>
        </w:rPr>
        <w:t>四、指数信用事件判定及除名规则</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指数管理人在判定参考实体被发生信用事件当日对该实体进行除名处理，并公布除名后的新指数实体列表。</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CDS指数信用事件判定包含以下两种情形：1）指数管理人根据某实体的信用事件公开信息判定CDS指数触发信用事件，并主动于公开信息发布当天对触发信用事件的实体除名；</w:t>
      </w:r>
      <w:r w:rsidRPr="001325C3">
        <w:rPr>
          <w:rFonts w:ascii="仿宋_GB2312" w:hint="eastAsia"/>
          <w:szCs w:val="32"/>
        </w:rPr>
        <w:lastRenderedPageBreak/>
        <w:t>2）至少3家市场参与者（若该指数合约的买方不足三家的，以实际买方数量确定）申报从指数中将某实体除名（须说明申报除名原因），管理人在接收到足量申报的下一个工作日组织一定数量的市场参与者投票决定是否将该实体除名，多于75%的参与者投票通过则判定CDS指数触发信用事件，该实体被除名。</w:t>
      </w:r>
    </w:p>
    <w:p w:rsidR="00915135" w:rsidRPr="001325C3" w:rsidRDefault="00915135" w:rsidP="00915135">
      <w:pPr>
        <w:spacing w:line="560" w:lineRule="exact"/>
        <w:ind w:firstLineChars="200" w:firstLine="640"/>
        <w:rPr>
          <w:rFonts w:ascii="黑体" w:eastAsia="黑体" w:hAnsi="黑体" w:hint="eastAsia"/>
          <w:szCs w:val="32"/>
        </w:rPr>
      </w:pPr>
      <w:r w:rsidRPr="001325C3">
        <w:rPr>
          <w:rFonts w:ascii="黑体" w:eastAsia="黑体" w:hAnsi="黑体" w:hint="eastAsia"/>
          <w:szCs w:val="32"/>
        </w:rPr>
        <w:t>五、指数信用曲线报价及发布</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CFETS-SHCH 民企CDS指数信用曲线由市场机构对CDS指数的报价、成交形成，指数管理人共同编制并每日发布CDS指数信用曲线。</w:t>
      </w:r>
    </w:p>
    <w:p w:rsidR="00915135" w:rsidRPr="001325C3" w:rsidRDefault="00915135" w:rsidP="00915135">
      <w:pPr>
        <w:spacing w:line="560" w:lineRule="exact"/>
        <w:ind w:firstLineChars="200" w:firstLine="640"/>
        <w:rPr>
          <w:rFonts w:ascii="仿宋_GB2312" w:hint="eastAsia"/>
          <w:szCs w:val="32"/>
        </w:rPr>
      </w:pPr>
      <w:r w:rsidRPr="001325C3">
        <w:rPr>
          <w:rFonts w:ascii="仿宋_GB2312" w:hint="eastAsia"/>
          <w:szCs w:val="32"/>
        </w:rPr>
        <w:t>报价机构于每个交易日16:00点前按照现行报价要求，在交易中心本币交易系统“信用违约互换-双向报价”模块进行报价，具体报价要素见下表。</w:t>
      </w:r>
    </w:p>
    <w:p w:rsidR="00915135" w:rsidRDefault="00915135" w:rsidP="00915135">
      <w:pPr>
        <w:spacing w:line="560" w:lineRule="exact"/>
        <w:ind w:firstLine="420"/>
        <w:rPr>
          <w:rFonts w:ascii="仿宋_GB2312"/>
          <w:szCs w:val="32"/>
        </w:rPr>
      </w:pPr>
    </w:p>
    <w:p w:rsidR="00915135" w:rsidRPr="001325C3" w:rsidRDefault="00915135" w:rsidP="00915135">
      <w:pPr>
        <w:spacing w:line="560" w:lineRule="exact"/>
        <w:jc w:val="center"/>
        <w:rPr>
          <w:rFonts w:ascii="仿宋_GB2312" w:hint="eastAsia"/>
          <w:b/>
          <w:szCs w:val="32"/>
        </w:rPr>
      </w:pPr>
      <w:r>
        <w:rPr>
          <w:rFonts w:ascii="仿宋_GB2312"/>
          <w:szCs w:val="32"/>
        </w:rPr>
        <w:br w:type="page"/>
      </w:r>
      <w:r w:rsidRPr="001325C3">
        <w:rPr>
          <w:rFonts w:ascii="仿宋_GB2312" w:hint="eastAsia"/>
          <w:b/>
          <w:szCs w:val="32"/>
        </w:rPr>
        <w:lastRenderedPageBreak/>
        <w:t>表：CFETS-SHCH 民企CDS指数报价要素</w:t>
      </w:r>
    </w:p>
    <w:tbl>
      <w:tblPr>
        <w:tblpPr w:leftFromText="180" w:rightFromText="180" w:vertAnchor="text" w:horzAnchor="margin" w:tblpXSpec="center" w:tblpY="377"/>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2811"/>
        <w:gridCol w:w="1720"/>
        <w:gridCol w:w="2758"/>
      </w:tblGrid>
      <w:tr w:rsidR="00915135" w:rsidRPr="001325C3" w:rsidTr="00F25065">
        <w:trPr>
          <w:trHeight w:val="719"/>
        </w:trPr>
        <w:tc>
          <w:tcPr>
            <w:tcW w:w="5000" w:type="pct"/>
            <w:gridSpan w:val="4"/>
            <w:shd w:val="clear" w:color="auto" w:fill="auto"/>
            <w:vAlign w:val="center"/>
            <w:hideMark/>
          </w:tcPr>
          <w:p w:rsidR="00915135" w:rsidRPr="001325C3" w:rsidRDefault="00915135" w:rsidP="00F25065">
            <w:pPr>
              <w:widowControl/>
              <w:spacing w:line="240" w:lineRule="atLeast"/>
              <w:jc w:val="center"/>
              <w:rPr>
                <w:rFonts w:ascii="仿宋_GB2312" w:hint="eastAsia"/>
                <w:b/>
                <w:bCs/>
                <w:kern w:val="0"/>
                <w:sz w:val="24"/>
                <w:szCs w:val="21"/>
              </w:rPr>
            </w:pPr>
            <w:r w:rsidRPr="001325C3">
              <w:rPr>
                <w:rFonts w:ascii="仿宋_GB2312" w:hint="eastAsia"/>
                <w:b/>
                <w:bCs/>
                <w:kern w:val="0"/>
                <w:sz w:val="24"/>
                <w:szCs w:val="21"/>
              </w:rPr>
              <w:t>一般要素</w:t>
            </w:r>
          </w:p>
        </w:tc>
      </w:tr>
      <w:tr w:rsidR="00915135" w:rsidRPr="001325C3" w:rsidTr="00F25065">
        <w:trPr>
          <w:trHeight w:val="567"/>
        </w:trPr>
        <w:tc>
          <w:tcPr>
            <w:tcW w:w="724" w:type="pct"/>
            <w:shd w:val="clear" w:color="auto" w:fill="auto"/>
            <w:vAlign w:val="center"/>
            <w:hideMark/>
          </w:tcPr>
          <w:p w:rsidR="00915135" w:rsidRPr="001325C3" w:rsidRDefault="00915135" w:rsidP="00F25065">
            <w:pPr>
              <w:widowControl/>
              <w:spacing w:line="240" w:lineRule="atLeast"/>
              <w:jc w:val="center"/>
              <w:rPr>
                <w:rFonts w:ascii="仿宋_GB2312" w:hint="eastAsia"/>
                <w:b/>
                <w:bCs/>
                <w:color w:val="000000"/>
                <w:kern w:val="0"/>
                <w:sz w:val="24"/>
                <w:szCs w:val="21"/>
              </w:rPr>
            </w:pPr>
            <w:r w:rsidRPr="001325C3">
              <w:rPr>
                <w:rFonts w:ascii="仿宋_GB2312" w:hint="eastAsia"/>
                <w:b/>
                <w:bCs/>
                <w:color w:val="000000"/>
                <w:kern w:val="0"/>
                <w:sz w:val="24"/>
                <w:szCs w:val="21"/>
              </w:rPr>
              <w:t>币种</w:t>
            </w:r>
          </w:p>
        </w:tc>
        <w:tc>
          <w:tcPr>
            <w:tcW w:w="1649" w:type="pct"/>
            <w:shd w:val="clear" w:color="auto" w:fill="auto"/>
            <w:vAlign w:val="center"/>
            <w:hideMark/>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人民币</w:t>
            </w:r>
          </w:p>
        </w:tc>
        <w:tc>
          <w:tcPr>
            <w:tcW w:w="1009" w:type="pct"/>
            <w:shd w:val="clear" w:color="auto" w:fill="auto"/>
            <w:vAlign w:val="center"/>
          </w:tcPr>
          <w:p w:rsidR="00915135" w:rsidRPr="001325C3" w:rsidRDefault="00915135" w:rsidP="00F25065">
            <w:pPr>
              <w:widowControl/>
              <w:spacing w:line="240" w:lineRule="atLeast"/>
              <w:jc w:val="center"/>
              <w:rPr>
                <w:rFonts w:ascii="仿宋_GB2312" w:hAnsi="仿宋" w:hint="eastAsia"/>
                <w:b/>
                <w:bCs/>
                <w:color w:val="000000"/>
                <w:kern w:val="0"/>
                <w:sz w:val="24"/>
                <w:szCs w:val="24"/>
                <w:highlight w:val="yellow"/>
              </w:rPr>
            </w:pPr>
            <w:r w:rsidRPr="001325C3">
              <w:rPr>
                <w:rFonts w:ascii="仿宋_GB2312" w:hAnsi="仿宋" w:hint="eastAsia"/>
                <w:b/>
                <w:bCs/>
                <w:color w:val="000000"/>
                <w:kern w:val="0"/>
                <w:sz w:val="24"/>
                <w:szCs w:val="24"/>
              </w:rPr>
              <w:t>期限</w:t>
            </w:r>
          </w:p>
        </w:tc>
        <w:tc>
          <w:tcPr>
            <w:tcW w:w="1618"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必报：0.25年、0.5年、0.75年、1年、2年和3年</w:t>
            </w:r>
          </w:p>
          <w:p w:rsidR="00915135" w:rsidRPr="001325C3" w:rsidRDefault="00915135" w:rsidP="00F25065">
            <w:pPr>
              <w:widowControl/>
              <w:spacing w:line="240" w:lineRule="atLeast"/>
              <w:jc w:val="left"/>
              <w:rPr>
                <w:rFonts w:ascii="仿宋_GB2312" w:hAnsi="仿宋" w:hint="eastAsia"/>
                <w:color w:val="000000"/>
                <w:kern w:val="0"/>
                <w:sz w:val="24"/>
                <w:szCs w:val="24"/>
                <w:highlight w:val="yellow"/>
              </w:rPr>
            </w:pPr>
            <w:r w:rsidRPr="001325C3">
              <w:rPr>
                <w:rFonts w:ascii="仿宋_GB2312" w:hAnsi="仿宋" w:hint="eastAsia"/>
                <w:color w:val="000000"/>
                <w:kern w:val="0"/>
                <w:sz w:val="24"/>
                <w:szCs w:val="24"/>
              </w:rPr>
              <w:t>选报：5年</w:t>
            </w:r>
          </w:p>
        </w:tc>
      </w:tr>
      <w:tr w:rsidR="00915135" w:rsidRPr="001325C3" w:rsidTr="00F25065">
        <w:trPr>
          <w:trHeight w:val="567"/>
        </w:trPr>
        <w:tc>
          <w:tcPr>
            <w:tcW w:w="724" w:type="pct"/>
            <w:shd w:val="clear" w:color="auto" w:fill="auto"/>
            <w:vAlign w:val="center"/>
          </w:tcPr>
          <w:p w:rsidR="00915135" w:rsidRPr="001325C3" w:rsidRDefault="00915135" w:rsidP="00F25065">
            <w:pPr>
              <w:widowControl/>
              <w:spacing w:line="240" w:lineRule="atLeast"/>
              <w:jc w:val="center"/>
              <w:rPr>
                <w:rFonts w:ascii="仿宋_GB2312" w:hint="eastAsia"/>
                <w:b/>
                <w:color w:val="000000"/>
                <w:kern w:val="0"/>
                <w:sz w:val="24"/>
                <w:szCs w:val="21"/>
              </w:rPr>
            </w:pPr>
            <w:r w:rsidRPr="001325C3">
              <w:rPr>
                <w:rFonts w:ascii="仿宋_GB2312" w:hint="eastAsia"/>
                <w:b/>
                <w:color w:val="000000"/>
                <w:kern w:val="0"/>
                <w:sz w:val="24"/>
                <w:szCs w:val="21"/>
              </w:rPr>
              <w:t>起始日</w:t>
            </w:r>
          </w:p>
        </w:tc>
        <w:tc>
          <w:tcPr>
            <w:tcW w:w="1649"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当前日期的下一个自然日</w:t>
            </w:r>
          </w:p>
        </w:tc>
        <w:tc>
          <w:tcPr>
            <w:tcW w:w="1009" w:type="pct"/>
            <w:shd w:val="clear" w:color="auto" w:fill="auto"/>
            <w:vAlign w:val="center"/>
          </w:tcPr>
          <w:p w:rsidR="00915135" w:rsidRPr="001325C3" w:rsidRDefault="00915135" w:rsidP="00F25065">
            <w:pPr>
              <w:widowControl/>
              <w:spacing w:line="240" w:lineRule="atLeast"/>
              <w:jc w:val="center"/>
              <w:rPr>
                <w:rFonts w:ascii="仿宋_GB2312" w:hAnsi="仿宋" w:hint="eastAsia"/>
                <w:b/>
                <w:color w:val="000000"/>
                <w:kern w:val="0"/>
                <w:sz w:val="24"/>
                <w:szCs w:val="24"/>
              </w:rPr>
            </w:pPr>
            <w:r w:rsidRPr="001325C3">
              <w:rPr>
                <w:rFonts w:ascii="仿宋_GB2312" w:hAnsi="仿宋" w:hint="eastAsia"/>
                <w:b/>
                <w:sz w:val="24"/>
                <w:szCs w:val="24"/>
              </w:rPr>
              <w:t>报价方式</w:t>
            </w:r>
          </w:p>
        </w:tc>
        <w:tc>
          <w:tcPr>
            <w:tcW w:w="1618"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sz w:val="24"/>
                <w:szCs w:val="24"/>
              </w:rPr>
              <w:t>按利差报价</w:t>
            </w:r>
          </w:p>
        </w:tc>
      </w:tr>
      <w:tr w:rsidR="00915135" w:rsidRPr="001325C3" w:rsidTr="00F25065">
        <w:trPr>
          <w:trHeight w:val="567"/>
        </w:trPr>
        <w:tc>
          <w:tcPr>
            <w:tcW w:w="724" w:type="pct"/>
            <w:shd w:val="clear" w:color="auto" w:fill="auto"/>
            <w:vAlign w:val="center"/>
          </w:tcPr>
          <w:p w:rsidR="00915135" w:rsidRPr="001325C3" w:rsidRDefault="00915135" w:rsidP="00F25065">
            <w:pPr>
              <w:widowControl/>
              <w:spacing w:line="240" w:lineRule="atLeast"/>
              <w:jc w:val="center"/>
              <w:rPr>
                <w:rFonts w:ascii="仿宋_GB2312" w:hint="eastAsia"/>
                <w:b/>
                <w:color w:val="000000"/>
                <w:kern w:val="0"/>
                <w:sz w:val="24"/>
                <w:szCs w:val="21"/>
              </w:rPr>
            </w:pPr>
            <w:r w:rsidRPr="001325C3">
              <w:rPr>
                <w:rFonts w:ascii="仿宋_GB2312" w:hint="eastAsia"/>
                <w:b/>
                <w:bCs/>
                <w:color w:val="000000"/>
                <w:kern w:val="0"/>
                <w:sz w:val="24"/>
                <w:szCs w:val="21"/>
              </w:rPr>
              <w:t>利差</w:t>
            </w:r>
          </w:p>
        </w:tc>
        <w:tc>
          <w:tcPr>
            <w:tcW w:w="1649"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约定，单位（bps）</w:t>
            </w:r>
          </w:p>
        </w:tc>
        <w:tc>
          <w:tcPr>
            <w:tcW w:w="1009" w:type="pct"/>
            <w:shd w:val="clear" w:color="auto" w:fill="auto"/>
            <w:vAlign w:val="center"/>
          </w:tcPr>
          <w:p w:rsidR="00915135" w:rsidRPr="001325C3" w:rsidRDefault="00915135" w:rsidP="00F25065">
            <w:pPr>
              <w:widowControl/>
              <w:spacing w:line="240" w:lineRule="atLeast"/>
              <w:jc w:val="center"/>
              <w:rPr>
                <w:rFonts w:ascii="仿宋_GB2312" w:hAnsi="仿宋" w:hint="eastAsia"/>
                <w:b/>
                <w:color w:val="000000"/>
                <w:kern w:val="0"/>
                <w:sz w:val="24"/>
                <w:szCs w:val="24"/>
              </w:rPr>
            </w:pPr>
            <w:r w:rsidRPr="001325C3">
              <w:rPr>
                <w:rFonts w:ascii="仿宋_GB2312" w:hAnsi="仿宋" w:hint="eastAsia"/>
                <w:b/>
                <w:bCs/>
                <w:color w:val="000000"/>
                <w:kern w:val="0"/>
                <w:sz w:val="24"/>
                <w:szCs w:val="24"/>
              </w:rPr>
              <w:t>约定</w:t>
            </w:r>
            <w:proofErr w:type="gramStart"/>
            <w:r w:rsidRPr="001325C3">
              <w:rPr>
                <w:rFonts w:ascii="仿宋_GB2312" w:hAnsi="仿宋" w:hint="eastAsia"/>
                <w:b/>
                <w:bCs/>
                <w:color w:val="000000"/>
                <w:kern w:val="0"/>
                <w:sz w:val="24"/>
                <w:szCs w:val="24"/>
              </w:rPr>
              <w:t>最终比例</w:t>
            </w:r>
            <w:proofErr w:type="gramEnd"/>
          </w:p>
        </w:tc>
        <w:tc>
          <w:tcPr>
            <w:tcW w:w="1618"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25%</w:t>
            </w:r>
          </w:p>
        </w:tc>
      </w:tr>
      <w:tr w:rsidR="00915135" w:rsidRPr="001325C3" w:rsidTr="00F25065">
        <w:trPr>
          <w:trHeight w:val="567"/>
        </w:trPr>
        <w:tc>
          <w:tcPr>
            <w:tcW w:w="724" w:type="pct"/>
            <w:shd w:val="clear" w:color="auto" w:fill="auto"/>
            <w:vAlign w:val="center"/>
          </w:tcPr>
          <w:p w:rsidR="00915135" w:rsidRPr="001325C3" w:rsidRDefault="00915135" w:rsidP="00F25065">
            <w:pPr>
              <w:widowControl/>
              <w:spacing w:line="240" w:lineRule="atLeast"/>
              <w:jc w:val="center"/>
              <w:rPr>
                <w:rFonts w:ascii="仿宋_GB2312" w:hint="eastAsia"/>
                <w:b/>
                <w:bCs/>
                <w:color w:val="000000"/>
                <w:kern w:val="0"/>
                <w:sz w:val="24"/>
                <w:szCs w:val="21"/>
              </w:rPr>
            </w:pPr>
            <w:r w:rsidRPr="001325C3">
              <w:rPr>
                <w:rFonts w:ascii="仿宋_GB2312" w:hint="eastAsia"/>
                <w:b/>
                <w:color w:val="000000"/>
                <w:kern w:val="0"/>
                <w:sz w:val="24"/>
                <w:szCs w:val="21"/>
              </w:rPr>
              <w:t>计息基准</w:t>
            </w:r>
          </w:p>
        </w:tc>
        <w:tc>
          <w:tcPr>
            <w:tcW w:w="1649"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A/365</w:t>
            </w:r>
          </w:p>
        </w:tc>
        <w:tc>
          <w:tcPr>
            <w:tcW w:w="1009" w:type="pct"/>
            <w:shd w:val="clear" w:color="auto" w:fill="auto"/>
            <w:vAlign w:val="center"/>
          </w:tcPr>
          <w:p w:rsidR="00915135" w:rsidRPr="001325C3" w:rsidRDefault="00915135" w:rsidP="00F25065">
            <w:pPr>
              <w:widowControl/>
              <w:spacing w:line="240" w:lineRule="atLeast"/>
              <w:jc w:val="center"/>
              <w:rPr>
                <w:rFonts w:ascii="仿宋_GB2312" w:hAnsi="仿宋" w:hint="eastAsia"/>
                <w:b/>
                <w:color w:val="000000"/>
                <w:kern w:val="0"/>
                <w:sz w:val="24"/>
                <w:szCs w:val="24"/>
                <w:highlight w:val="yellow"/>
              </w:rPr>
            </w:pPr>
            <w:r w:rsidRPr="001325C3">
              <w:rPr>
                <w:rFonts w:ascii="仿宋_GB2312" w:hAnsi="仿宋" w:hint="eastAsia"/>
                <w:b/>
                <w:color w:val="000000"/>
                <w:kern w:val="0"/>
                <w:sz w:val="24"/>
                <w:szCs w:val="24"/>
              </w:rPr>
              <w:t>滚动日</w:t>
            </w:r>
          </w:p>
        </w:tc>
        <w:tc>
          <w:tcPr>
            <w:tcW w:w="1618"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highlight w:val="yellow"/>
              </w:rPr>
            </w:pPr>
            <w:r w:rsidRPr="001325C3">
              <w:rPr>
                <w:rFonts w:ascii="仿宋_GB2312" w:hAnsi="仿宋" w:hint="eastAsia"/>
                <w:color w:val="000000"/>
                <w:kern w:val="0"/>
                <w:sz w:val="24"/>
                <w:szCs w:val="24"/>
              </w:rPr>
              <w:t>3月20日、9月20日，根据营业日准则调整</w:t>
            </w:r>
          </w:p>
        </w:tc>
      </w:tr>
      <w:tr w:rsidR="00915135" w:rsidRPr="001325C3" w:rsidTr="00F25065">
        <w:trPr>
          <w:trHeight w:val="567"/>
        </w:trPr>
        <w:tc>
          <w:tcPr>
            <w:tcW w:w="5000" w:type="pct"/>
            <w:gridSpan w:val="4"/>
            <w:shd w:val="clear" w:color="auto" w:fill="auto"/>
            <w:vAlign w:val="center"/>
          </w:tcPr>
          <w:p w:rsidR="00915135" w:rsidRPr="001325C3" w:rsidRDefault="00915135" w:rsidP="00F25065">
            <w:pPr>
              <w:widowControl/>
              <w:spacing w:line="240" w:lineRule="atLeast"/>
              <w:jc w:val="center"/>
              <w:rPr>
                <w:rFonts w:ascii="仿宋_GB2312" w:hAnsi="仿宋" w:hint="eastAsia"/>
                <w:b/>
                <w:color w:val="000000"/>
                <w:kern w:val="0"/>
                <w:sz w:val="24"/>
                <w:szCs w:val="24"/>
              </w:rPr>
            </w:pPr>
            <w:r w:rsidRPr="001325C3">
              <w:rPr>
                <w:rFonts w:ascii="仿宋_GB2312" w:hAnsi="仿宋" w:hint="eastAsia"/>
                <w:b/>
                <w:color w:val="000000"/>
                <w:kern w:val="0"/>
                <w:sz w:val="24"/>
                <w:szCs w:val="24"/>
              </w:rPr>
              <w:t>与信用事件有关要素</w:t>
            </w:r>
          </w:p>
        </w:tc>
      </w:tr>
      <w:tr w:rsidR="00915135" w:rsidRPr="001325C3" w:rsidTr="00F25065">
        <w:trPr>
          <w:trHeight w:val="567"/>
        </w:trPr>
        <w:tc>
          <w:tcPr>
            <w:tcW w:w="724" w:type="pct"/>
            <w:shd w:val="clear" w:color="auto" w:fill="auto"/>
            <w:vAlign w:val="center"/>
          </w:tcPr>
          <w:p w:rsidR="00915135" w:rsidRPr="001325C3" w:rsidRDefault="00915135" w:rsidP="00F25065">
            <w:pPr>
              <w:widowControl/>
              <w:spacing w:line="240" w:lineRule="atLeast"/>
              <w:jc w:val="center"/>
              <w:rPr>
                <w:rFonts w:ascii="仿宋_GB2312" w:hint="eastAsia"/>
                <w:b/>
                <w:bCs/>
                <w:color w:val="000000"/>
                <w:kern w:val="0"/>
                <w:sz w:val="24"/>
                <w:szCs w:val="21"/>
              </w:rPr>
            </w:pPr>
            <w:r w:rsidRPr="001325C3">
              <w:rPr>
                <w:rFonts w:ascii="仿宋_GB2312" w:hint="eastAsia"/>
                <w:b/>
                <w:bCs/>
                <w:color w:val="000000"/>
                <w:kern w:val="0"/>
                <w:sz w:val="24"/>
                <w:szCs w:val="21"/>
              </w:rPr>
              <w:t>债务种类</w:t>
            </w:r>
          </w:p>
        </w:tc>
        <w:tc>
          <w:tcPr>
            <w:tcW w:w="1649"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债务工具</w:t>
            </w:r>
          </w:p>
        </w:tc>
        <w:tc>
          <w:tcPr>
            <w:tcW w:w="1009" w:type="pct"/>
            <w:shd w:val="clear" w:color="auto" w:fill="auto"/>
            <w:vAlign w:val="center"/>
          </w:tcPr>
          <w:p w:rsidR="00915135" w:rsidRPr="001325C3" w:rsidRDefault="00915135" w:rsidP="00F25065">
            <w:pPr>
              <w:widowControl/>
              <w:spacing w:line="240" w:lineRule="atLeast"/>
              <w:jc w:val="center"/>
              <w:rPr>
                <w:rFonts w:ascii="仿宋_GB2312" w:hAnsi="仿宋" w:hint="eastAsia"/>
                <w:b/>
                <w:bCs/>
                <w:color w:val="000000"/>
                <w:kern w:val="0"/>
                <w:sz w:val="24"/>
                <w:szCs w:val="24"/>
              </w:rPr>
            </w:pPr>
            <w:r w:rsidRPr="001325C3">
              <w:rPr>
                <w:rFonts w:ascii="仿宋_GB2312" w:hAnsi="仿宋" w:hint="eastAsia"/>
                <w:b/>
                <w:bCs/>
                <w:color w:val="000000"/>
                <w:kern w:val="0"/>
                <w:sz w:val="24"/>
                <w:szCs w:val="24"/>
              </w:rPr>
              <w:t>债务特征</w:t>
            </w:r>
          </w:p>
        </w:tc>
        <w:tc>
          <w:tcPr>
            <w:tcW w:w="1618" w:type="pct"/>
            <w:shd w:val="clear" w:color="auto" w:fill="auto"/>
            <w:vAlign w:val="center"/>
          </w:tcPr>
          <w:p w:rsidR="00915135" w:rsidRPr="001325C3" w:rsidRDefault="00915135" w:rsidP="00F25065">
            <w:pPr>
              <w:widowControl/>
              <w:spacing w:line="240" w:lineRule="atLeast"/>
              <w:jc w:val="left"/>
              <w:rPr>
                <w:rFonts w:ascii="仿宋_GB2312" w:hAnsi="仿宋" w:hint="eastAsia"/>
                <w:color w:val="000000"/>
                <w:kern w:val="0"/>
                <w:sz w:val="24"/>
                <w:szCs w:val="24"/>
              </w:rPr>
            </w:pPr>
            <w:r w:rsidRPr="001325C3">
              <w:rPr>
                <w:rFonts w:ascii="仿宋_GB2312" w:hAnsi="仿宋" w:hint="eastAsia"/>
                <w:color w:val="000000"/>
                <w:kern w:val="0"/>
                <w:sz w:val="24"/>
                <w:szCs w:val="24"/>
              </w:rPr>
              <w:t>一般债务；本币；交易流通；</w:t>
            </w:r>
          </w:p>
        </w:tc>
      </w:tr>
      <w:tr w:rsidR="00915135" w:rsidRPr="001325C3" w:rsidTr="00F25065">
        <w:trPr>
          <w:trHeight w:val="567"/>
        </w:trPr>
        <w:tc>
          <w:tcPr>
            <w:tcW w:w="724" w:type="pct"/>
            <w:shd w:val="clear" w:color="auto" w:fill="auto"/>
            <w:vAlign w:val="center"/>
          </w:tcPr>
          <w:p w:rsidR="00915135" w:rsidRPr="001325C3" w:rsidRDefault="00915135" w:rsidP="00F25065">
            <w:pPr>
              <w:widowControl/>
              <w:spacing w:line="240" w:lineRule="atLeast"/>
              <w:jc w:val="center"/>
              <w:rPr>
                <w:rFonts w:ascii="仿宋_GB2312" w:hint="eastAsia"/>
                <w:b/>
                <w:sz w:val="24"/>
                <w:szCs w:val="21"/>
              </w:rPr>
            </w:pPr>
            <w:r w:rsidRPr="001325C3">
              <w:rPr>
                <w:rFonts w:ascii="仿宋_GB2312" w:hint="eastAsia"/>
                <w:b/>
                <w:bCs/>
                <w:color w:val="000000"/>
                <w:kern w:val="0"/>
                <w:sz w:val="24"/>
                <w:szCs w:val="21"/>
              </w:rPr>
              <w:t>信用事件</w:t>
            </w:r>
          </w:p>
        </w:tc>
        <w:tc>
          <w:tcPr>
            <w:tcW w:w="4276" w:type="pct"/>
            <w:gridSpan w:val="3"/>
            <w:shd w:val="clear" w:color="auto" w:fill="auto"/>
            <w:vAlign w:val="center"/>
          </w:tcPr>
          <w:p w:rsidR="00915135" w:rsidRPr="001325C3" w:rsidRDefault="00915135" w:rsidP="00F25065">
            <w:pPr>
              <w:widowControl/>
              <w:spacing w:line="240" w:lineRule="atLeast"/>
              <w:jc w:val="left"/>
              <w:rPr>
                <w:rFonts w:ascii="仿宋_GB2312" w:hAnsi="仿宋" w:hint="eastAsia"/>
                <w:sz w:val="24"/>
                <w:szCs w:val="24"/>
              </w:rPr>
            </w:pPr>
            <w:r w:rsidRPr="001325C3">
              <w:rPr>
                <w:rFonts w:ascii="仿宋_GB2312" w:hAnsi="仿宋" w:hint="eastAsia"/>
                <w:color w:val="000000"/>
                <w:kern w:val="0"/>
                <w:sz w:val="24"/>
                <w:szCs w:val="24"/>
              </w:rPr>
              <w:t>破产、支付违约（起点金额100万元人民币或其等值金额；宽限期3个营业日；适用宽限期顺延）</w:t>
            </w:r>
          </w:p>
        </w:tc>
      </w:tr>
    </w:tbl>
    <w:p w:rsidR="00915135" w:rsidRDefault="00915135" w:rsidP="00915135">
      <w:pPr>
        <w:ind w:firstLineChars="200" w:firstLine="640"/>
        <w:rPr>
          <w:szCs w:val="32"/>
        </w:rPr>
      </w:pPr>
    </w:p>
    <w:p w:rsidR="00915135" w:rsidRDefault="00915135" w:rsidP="00915135"/>
    <w:sectPr w:rsidR="009151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135" w:rsidRDefault="00915135" w:rsidP="00915135">
      <w:r>
        <w:separator/>
      </w:r>
    </w:p>
  </w:endnote>
  <w:endnote w:type="continuationSeparator" w:id="0">
    <w:p w:rsidR="00915135" w:rsidRDefault="00915135" w:rsidP="0091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4459"/>
      <w:docPartObj>
        <w:docPartGallery w:val="Page Numbers (Bottom of Page)"/>
        <w:docPartUnique/>
      </w:docPartObj>
    </w:sdtPr>
    <w:sdtContent>
      <w:p w:rsidR="00915135" w:rsidRDefault="00915135">
        <w:pPr>
          <w:pStyle w:val="a4"/>
          <w:jc w:val="center"/>
        </w:pPr>
        <w:r>
          <w:fldChar w:fldCharType="begin"/>
        </w:r>
        <w:r>
          <w:instrText>PAGE   \* MERGEFORMAT</w:instrText>
        </w:r>
        <w:r>
          <w:fldChar w:fldCharType="separate"/>
        </w:r>
        <w:r w:rsidRPr="00915135">
          <w:rPr>
            <w:noProof/>
            <w:lang w:val="zh-CN"/>
          </w:rPr>
          <w:t>1</w:t>
        </w:r>
        <w:r>
          <w:fldChar w:fldCharType="end"/>
        </w:r>
      </w:p>
    </w:sdtContent>
  </w:sdt>
  <w:p w:rsidR="00915135" w:rsidRDefault="009151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135" w:rsidRDefault="00915135" w:rsidP="00915135">
      <w:r>
        <w:separator/>
      </w:r>
    </w:p>
  </w:footnote>
  <w:footnote w:type="continuationSeparator" w:id="0">
    <w:p w:rsidR="00915135" w:rsidRDefault="00915135" w:rsidP="0091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35"/>
    <w:rsid w:val="0091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CD4F4-9B2B-489F-8469-080318C6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13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135"/>
    <w:rPr>
      <w:rFonts w:ascii="Times New Roman" w:eastAsia="仿宋_GB2312" w:hAnsi="Times New Roman" w:cs="Times New Roman"/>
      <w:sz w:val="18"/>
      <w:szCs w:val="18"/>
    </w:rPr>
  </w:style>
  <w:style w:type="paragraph" w:styleId="a4">
    <w:name w:val="footer"/>
    <w:basedOn w:val="a"/>
    <w:link w:val="Char0"/>
    <w:uiPriority w:val="99"/>
    <w:unhideWhenUsed/>
    <w:rsid w:val="00915135"/>
    <w:pPr>
      <w:tabs>
        <w:tab w:val="center" w:pos="4153"/>
        <w:tab w:val="right" w:pos="8306"/>
      </w:tabs>
      <w:snapToGrid w:val="0"/>
      <w:jc w:val="left"/>
    </w:pPr>
    <w:rPr>
      <w:sz w:val="18"/>
      <w:szCs w:val="18"/>
    </w:rPr>
  </w:style>
  <w:style w:type="character" w:customStyle="1" w:styleId="Char0">
    <w:name w:val="页脚 Char"/>
    <w:basedOn w:val="a0"/>
    <w:link w:val="a4"/>
    <w:uiPriority w:val="99"/>
    <w:rsid w:val="0091513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郁颖文</dc:creator>
  <cp:keywords/>
  <dc:description/>
  <cp:lastModifiedBy>郁颖文</cp:lastModifiedBy>
  <cp:revision>1</cp:revision>
  <dcterms:created xsi:type="dcterms:W3CDTF">2021-04-25T07:49:00Z</dcterms:created>
  <dcterms:modified xsi:type="dcterms:W3CDTF">2021-04-25T07:50:00Z</dcterms:modified>
</cp:coreProperties>
</file>