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25" w:rsidRDefault="008F6825" w:rsidP="008F6825">
      <w:pPr>
        <w:spacing w:line="580" w:lineRule="exact"/>
        <w:ind w:right="96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8F6825" w:rsidRDefault="008F6825" w:rsidP="008F6825">
      <w:pPr>
        <w:spacing w:line="580" w:lineRule="exact"/>
        <w:ind w:right="960"/>
        <w:rPr>
          <w:rFonts w:ascii="黑体" w:eastAsia="黑体" w:hAnsi="宋体" w:cs="黑体"/>
          <w:sz w:val="32"/>
          <w:szCs w:val="32"/>
        </w:rPr>
      </w:pPr>
    </w:p>
    <w:p w:rsidR="008F6825" w:rsidRDefault="008F6825" w:rsidP="008F6825">
      <w:pPr>
        <w:pStyle w:val="a4"/>
        <w:spacing w:line="58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2023年度集中清算业务和发行登记托管</w:t>
      </w:r>
    </w:p>
    <w:p w:rsidR="008F6825" w:rsidRDefault="008F6825" w:rsidP="008F6825">
      <w:pPr>
        <w:pStyle w:val="a4"/>
        <w:spacing w:line="580" w:lineRule="exact"/>
        <w:jc w:val="center"/>
        <w:rPr>
          <w:rFonts w:ascii="黑体" w:eastAsia="黑体" w:hAnsi="宋体" w:cs="黑体"/>
          <w:sz w:val="36"/>
          <w:szCs w:val="36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结算业务高质量发展评价结果</w:t>
      </w:r>
    </w:p>
    <w:p w:rsidR="008F6825" w:rsidRDefault="008F6825" w:rsidP="008F6825">
      <w:pPr>
        <w:pStyle w:val="a4"/>
        <w:spacing w:line="580" w:lineRule="exact"/>
        <w:jc w:val="center"/>
      </w:pP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一、集中清算业务奖项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（一）综合奖：优秀清算会员</w:t>
      </w:r>
      <w:bookmarkStart w:id="0" w:name="_GoBack"/>
      <w:bookmarkEnd w:id="0"/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平安银行股份有限公司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宁波银行股份有限公司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华泰证券股份有限公司</w:t>
      </w:r>
    </w:p>
    <w:p w:rsidR="008F6825" w:rsidRDefault="008F6825" w:rsidP="008F6825">
      <w:pPr>
        <w:pStyle w:val="a4"/>
        <w:widowControl/>
        <w:spacing w:before="100" w:beforeAutospacing="1" w:after="100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（二）单项奖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（1）外汇自营清算优秀奖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（2）利率互换自营清算优秀奖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平安银行股份有限公司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华泰证券股份有限公司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（3）债券净额自营清算优秀奖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西安银行股份有限公司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广东华兴银行股份有限公司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（4）标准债券远期自营清算优秀奖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广发证券股份有限公司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东方证券股份有限公司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（5）大宗商品自营清算优秀奖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（6）外币对自营清算优秀奖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2.自营清算进步奖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（1）外汇自营清算进步奖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华夏银行股份有限公司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（2）利率互换自营清算进步奖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（3）债券净额自营清算进步奖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恒丰银行股份有限公司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（4）标准债券远期自营清算进步奖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（1）外汇代理清算业务优秀综合清算会员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（2）利率互换代理清算业务优秀综合清算会员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（3）债券净额代理清算业务优秀综合清算会员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（4）标准债券远期代理清算业务优秀综合清算会员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（5）大宗商品代理清算业务优秀综合清算会员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（6）外币对</w:t>
      </w:r>
      <w:r>
        <w:rPr>
          <w:rFonts w:ascii="仿宋" w:eastAsia="仿宋" w:hAnsi="仿宋" w:cs="仿宋" w:hint="eastAsia"/>
          <w:sz w:val="32"/>
          <w:szCs w:val="32"/>
        </w:rPr>
        <w:t>代理清算业务优秀综合清算会员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340" w:lineRule="exact"/>
        <w:ind w:firstLine="646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（1）外汇代理清算业务优秀参与机构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浙江泰隆商业银行股份有限公司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江苏苏州农村商业银行股份有限公司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杭州联合农村商业银行股份有限公司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招商证券股份有限公司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lastRenderedPageBreak/>
        <w:t>中国国际金融股份有限公司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中信证券股份有限公司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浙江绍兴瑞丰农村商业银行股份有限公司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（2）利率互换代理清算业务优秀参与机构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平安证券股份有限公司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中国银河证券股份有限公司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国海证券股份有限公司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渣打银行（香港）有限公司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申万宏源证券有限公司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江苏银行股份有限公司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中原证券股份有限公司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江苏昆山农村商业银行股份有限公司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东方财富证券股份有限公司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恒生银行（中国）有限公司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（3）债券净额代理清算业务优秀参与机构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江苏常熟农村商业银行股份有限公司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（4）标准债券远期代理清算业务优秀参与机构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申万宏源证券有限公司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海通证券股份有限公司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中国银河证券股份有限公司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（5）大宗商品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建信商贸有限责任公司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lastRenderedPageBreak/>
        <w:t>（6）外币对代理清算业务优秀参与机构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江苏张家港农村商业银行股份有限公司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中信建投证券股份有限公司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温州银行股份有限公司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二、发行登记托管结算业务奖项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（一）综合奖：优秀结算成员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中国光大银行股份有限公司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中国民生银行股份有限公司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平安银行股份有限公司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中国邮政储蓄银行股份有限公司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中信建投证券股份有限公司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中国国际金融股份有限公司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中银国际证券股份有限公司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第一创业证券股份有限公司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（二）单项奖</w:t>
      </w:r>
    </w:p>
    <w:p w:rsidR="008F6825" w:rsidRDefault="008F6825" w:rsidP="008F6825">
      <w:pPr>
        <w:widowControl/>
        <w:adjustRightInd w:val="0"/>
        <w:snapToGrid w:val="0"/>
        <w:spacing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1.优秀结算业务参与者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中国邮政储蓄银行股份有限公司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宁波银行股份有限公司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中信建投证券股份有限公司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中国人寿保险股份有限公司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华夏人寿保险股份有限公司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中油财务有限责任公司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浙江网商银行股份有限公司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易方达基金管理有限公司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中粮信托有限责任公司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紫金信托有限责任公司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泰康资产管理有限责任公司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2.优秀发行人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（1）政策性金融债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中国农业发展银行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国家开发银行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（2）商业银行金融债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①资本补充债券</w:t>
      </w:r>
    </w:p>
    <w:p w:rsidR="008F6825" w:rsidRDefault="008F6825" w:rsidP="008F6825">
      <w:pPr>
        <w:pStyle w:val="a4"/>
        <w:adjustRightInd w:val="0"/>
        <w:snapToGrid w:val="0"/>
        <w:spacing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中国农业银行股份有限公司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中国建设银行股份有限公司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中国工商银行股份有限公司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中国邮政储蓄银行股份有限公司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浙商银行股份有限公司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交通银行股份有限公司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招商银行股份有限公司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中信银行股份有限公司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广州农村商业银行股份有限公司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中国光大银行股份有限公司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厦门国际银行股份有限公司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徽商银行股份有限公司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宁波银行股份有限公司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中原银行股份有限公司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成都农村商业银行股份有限公司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苏州银行股份有限公司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天津银行股份有限公司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杭州联合农村商业银行股份有限公司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富邦华一银行有限公司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浙江杭州余杭农村商业银行股份有限公司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②普通金融债券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长沙银行股份有限公司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湖南银行股份有限公司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重庆农村商业银行股份有限公司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（3）非银机构金融债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中国人民保险集团股份有限公司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中国人民人寿保险股份有限公司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中国太平洋人寿保险股份有限公司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太平人寿保险有限公司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新华人寿保险股份有限公司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中国太平洋财产保险股份有限公司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（4）货币市场工具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①同业存单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②证券公司短期融资券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（5）凭证类衍生品和资产证券化产品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①信用风险缓释凭证</w:t>
      </w:r>
    </w:p>
    <w:p w:rsidR="008F6825" w:rsidRDefault="008F6825" w:rsidP="008F6825">
      <w:pPr>
        <w:spacing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浙商银行股份有限公司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交通银行股份有限公司</w:t>
      </w:r>
    </w:p>
    <w:p w:rsidR="008F6825" w:rsidRDefault="008F6825" w:rsidP="008F682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②资产支持票据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百瑞信托有限责任公司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华能贵诚信托有限公司</w:t>
      </w:r>
    </w:p>
    <w:p w:rsidR="008F6825" w:rsidRDefault="008F6825" w:rsidP="008F682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（6）熊猫债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新开发银行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亚洲基础设施投资银行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德意志银行股份有限公司</w:t>
      </w:r>
    </w:p>
    <w:p w:rsidR="008F6825" w:rsidRDefault="008F6825" w:rsidP="008F6825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法国农业信贷银行</w:t>
      </w:r>
    </w:p>
    <w:p w:rsidR="008F6825" w:rsidRDefault="008F6825" w:rsidP="008F6825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（7）非金融企业债务融资工具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内蒙古伊利实业集团股份有限公司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天津城市基础设施建设投资集团有限公司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中央汇金投资有限责任公司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国家电力投资集团有限公司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中兴通讯股份有限公司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3.优秀承销商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（1）“政金清发”承销商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中国农业银行股份有限公司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中国邮政储蓄银行股份有限公司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兴业银行股份有限公司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上海浦东发展银行股份有限公司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中国工商银行股份有限公司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北京农村商业银行股份有限公司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中国建设银行股份有限公司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日照银行股份有限公司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江西银行股份有限公司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南京银行股份有限公司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杭州银行股份有限公司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江苏银行股份有限公司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东方证券股份有限公司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中信证券股份有限公司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民生证券股份有限公司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国海证券股份有限公司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国开证券股份有限公司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中国国际金融股份有限公司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山西证券股份有限公司</w:t>
      </w:r>
    </w:p>
    <w:p w:rsidR="008F6825" w:rsidRDefault="008F6825" w:rsidP="008F6825">
      <w:pPr>
        <w:pStyle w:val="a4"/>
        <w:adjustRightInd w:val="0"/>
        <w:snapToGrid w:val="0"/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天风证券股份有限公司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（2）商业银行金融债承销商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中国国际金融股份有限公司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中信建投证券股份有限公司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中银国际证券股份有限公司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华泰证券股份有限公司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4.优秀“政金清发”参与者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（1）逆回购业务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中国光大银行股份有限公司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中国邮政储蓄银行股份有限公司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（2）正回购业务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鹏华基金管理有限公司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广东华兴银行股份有限公司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永赢基金管理有限公司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恒丰银行股份有限公司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光大理财有限责任公司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广发基金管理有限公司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华夏基金管理有限公司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5.优秀托管机构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6.优秀担保品业务参与机构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（1）中期借贷便利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（2）双边担保品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7.优秀柜台债券业务参与机构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（1）发行人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国家开发银行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中国农业发展银行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（2）业务开办机构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宁波银行股份有限公司</w:t>
      </w:r>
    </w:p>
    <w:p w:rsidR="008F6825" w:rsidRDefault="008F6825" w:rsidP="008F6825">
      <w:pPr>
        <w:pStyle w:val="a4"/>
        <w:widowControl/>
        <w:spacing w:beforeAutospacing="1" w:afterAutospacing="1"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三、大宗商品清算通业务奖项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（一）优秀现货清算成员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宁波银行股份有限公司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（二）优秀现货平台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张家港保税科技（集团）股份有限公司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上海有色网金属交易中心有限公司</w:t>
      </w:r>
    </w:p>
    <w:p w:rsidR="008F6825" w:rsidRDefault="008F6825" w:rsidP="008F6825">
      <w:pPr>
        <w:pStyle w:val="a4"/>
        <w:widowControl/>
        <w:spacing w:beforeAutospacing="1" w:afterAutospacing="1"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四、绿色金融奖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（一）优秀绿色债券发行人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1.金融债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兴业银行股份有限公司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国家开发银行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中国光大银行股份有限公司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2.债务融资工具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百瑞信托有限责任公司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华能澜沧江水电股份有限公司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中电投融和融资租赁有限公司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华能贵诚信托有限公司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（二）优秀绿色债券承销商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（三）优秀绿色债券投资人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（四）优秀绿色金融业务创新机构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东莞农村商业银行股份有限公司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东方证券股份有限公司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中信建投证券股份有限公司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华宝证券股份有限公司</w:t>
      </w:r>
    </w:p>
    <w:p w:rsidR="008F6825" w:rsidRDefault="008F6825" w:rsidP="008F6825">
      <w:pPr>
        <w:pStyle w:val="a4"/>
        <w:widowControl/>
        <w:spacing w:beforeAutospacing="1" w:afterAutospacing="1"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五、创新业务奖项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（一）优秀创新业务推进机构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中国农业发展银行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宁波银行股份有限公司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东方证券股份有限公司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泰康人寿保险有限责任公司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（二）优秀风险管理协作机构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（三）优秀风险管理增值业务参与机构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（四）优秀外币回购清算参与机构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中国建设银行股份有限公司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中原银行股份有限公司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江苏江南农村商业银行股份有限公司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（五）优秀外汇交易双边集中清算参与机构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交通银行股份有限公司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（六）优秀数字人民币清结算服务参与机构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1.现货清算成员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中国工商银行股份有限公司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2.现货平台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张家港保税科技（集团）股份有限公司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山东国际大宗商品交易市场有限公司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567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（七）优秀大宗商品衍生品中央对手清算业务参与机构（数据提供方）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上海易通电子商务有限公司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上海丰特投资咨询有限公司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（八）优秀信用违约互换业务参与机构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1.报价业务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中国民生银行股份有限公司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申万宏源证券有限公司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2.双边逐笔清算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渣打银行（中国）有限公司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国泰君安证券股份有限公司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中国国际金融股份有限公司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="6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（九）优秀发行人主动债务管理业务专业机构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中信证券股份有限公司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上海浦东发展银行股份有限公司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招商银行股份有限公司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六、特别贡献奖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国家开发银行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中国农业发展银行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中国进出口银行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海南银行股份有限公司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信银理财有限责任公司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苏银金融租赁股份有限公司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江苏金融租赁股份有限公司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交银金融租赁有限责任公司</w:t>
      </w:r>
    </w:p>
    <w:p w:rsidR="008F6825" w:rsidRDefault="008F6825" w:rsidP="008F6825">
      <w:pPr>
        <w:pStyle w:val="a4"/>
        <w:widowControl/>
        <w:spacing w:beforeAutospacing="1" w:afterAutospacing="1" w:line="340" w:lineRule="exact"/>
        <w:jc w:val="center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张家港保税科技（集团）股份有限公司</w:t>
      </w:r>
    </w:p>
    <w:p w:rsidR="002C69C3" w:rsidRPr="008F6825" w:rsidRDefault="002C69C3"/>
    <w:sectPr w:rsidR="002C69C3" w:rsidRPr="008F6825" w:rsidSect="008F682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25" w:rsidRDefault="008F6825" w:rsidP="008F6825">
      <w:r>
        <w:separator/>
      </w:r>
    </w:p>
  </w:endnote>
  <w:endnote w:type="continuationSeparator" w:id="0">
    <w:p w:rsidR="008F6825" w:rsidRDefault="008F6825" w:rsidP="008F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25" w:rsidRPr="008F6825" w:rsidRDefault="008F6825">
    <w:pPr>
      <w:pStyle w:val="a3"/>
      <w:rPr>
        <w:rFonts w:asciiTheme="minorEastAsia" w:hAnsiTheme="minorEastAsia" w:hint="eastAsia"/>
        <w:sz w:val="28"/>
        <w:szCs w:val="28"/>
      </w:rPr>
    </w:pPr>
    <w:r w:rsidRPr="008F6825"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892692489"/>
        <w:docPartObj>
          <w:docPartGallery w:val="Page Numbers (Bottom of Page)"/>
          <w:docPartUnique/>
        </w:docPartObj>
      </w:sdtPr>
      <w:sdtContent>
        <w:r w:rsidRPr="008F6825">
          <w:rPr>
            <w:rFonts w:asciiTheme="minorEastAsia" w:hAnsiTheme="minorEastAsia"/>
            <w:sz w:val="28"/>
            <w:szCs w:val="28"/>
          </w:rPr>
          <w:fldChar w:fldCharType="begin"/>
        </w:r>
        <w:r w:rsidRPr="008F682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F6825">
          <w:rPr>
            <w:rFonts w:asciiTheme="minorEastAsia" w:hAnsiTheme="minorEastAsia"/>
            <w:sz w:val="28"/>
            <w:szCs w:val="28"/>
          </w:rPr>
          <w:fldChar w:fldCharType="separate"/>
        </w:r>
        <w:r w:rsidRPr="008F6825">
          <w:rPr>
            <w:rFonts w:asciiTheme="minorEastAsia" w:hAnsiTheme="minorEastAsia"/>
            <w:noProof/>
            <w:sz w:val="28"/>
            <w:szCs w:val="28"/>
            <w:lang w:val="zh-CN"/>
          </w:rPr>
          <w:t>20</w:t>
        </w:r>
        <w:r w:rsidRPr="008F6825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 w:rsidRPr="008F6825">
      <w:rPr>
        <w:rFonts w:asciiTheme="minorEastAsia" w:hAnsiTheme="minorEastAsia"/>
        <w:sz w:val="28"/>
        <w:szCs w:val="28"/>
      </w:rPr>
      <w:t xml:space="preserve"> </w:t>
    </w:r>
    <w:r w:rsidRPr="008F6825"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927106"/>
    </w:sdtPr>
    <w:sdtEndPr/>
    <w:sdtContent>
      <w:p w:rsidR="00BA4C1A" w:rsidRDefault="008F6825">
        <w:pPr>
          <w:pStyle w:val="a3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8F6825">
          <w:rPr>
            <w:rFonts w:asciiTheme="minorEastAsia" w:hAnsiTheme="minorEastAsia"/>
            <w:noProof/>
            <w:sz w:val="28"/>
            <w:szCs w:val="28"/>
            <w:lang w:val="zh-CN"/>
          </w:rPr>
          <w:t>19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25" w:rsidRDefault="008F6825" w:rsidP="008F6825">
      <w:r>
        <w:separator/>
      </w:r>
    </w:p>
  </w:footnote>
  <w:footnote w:type="continuationSeparator" w:id="0">
    <w:p w:rsidR="008F6825" w:rsidRDefault="008F6825" w:rsidP="008F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25"/>
    <w:rsid w:val="002C69C3"/>
    <w:rsid w:val="008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3BA6AA-E49E-4C13-B006-7788712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68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F6825"/>
    <w:rPr>
      <w:sz w:val="18"/>
    </w:rPr>
  </w:style>
  <w:style w:type="paragraph" w:styleId="a4">
    <w:name w:val="Normal (Web)"/>
    <w:basedOn w:val="a"/>
    <w:uiPriority w:val="99"/>
    <w:semiHidden/>
    <w:unhideWhenUsed/>
    <w:rsid w:val="008F6825"/>
    <w:rPr>
      <w:sz w:val="24"/>
    </w:rPr>
  </w:style>
  <w:style w:type="paragraph" w:styleId="a5">
    <w:name w:val="header"/>
    <w:basedOn w:val="a"/>
    <w:link w:val="Char0"/>
    <w:uiPriority w:val="99"/>
    <w:unhideWhenUsed/>
    <w:rsid w:val="008F6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6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孙驰</dc:creator>
  <cp:keywords/>
  <dc:description/>
  <cp:lastModifiedBy>孙驰</cp:lastModifiedBy>
  <cp:revision>1</cp:revision>
  <dcterms:created xsi:type="dcterms:W3CDTF">2024-02-08T05:37:00Z</dcterms:created>
  <dcterms:modified xsi:type="dcterms:W3CDTF">2024-02-08T05:39:00Z</dcterms:modified>
</cp:coreProperties>
</file>